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262EE" w14:textId="77777777" w:rsidR="00B51FA1" w:rsidRDefault="00B51FA1" w:rsidP="00B51FA1">
      <w:pPr>
        <w:pStyle w:val="NormalWeb"/>
        <w:spacing w:before="0" w:beforeAutospacing="0" w:after="0" w:afterAutospacing="0"/>
        <w:jc w:val="center"/>
        <w:rPr>
          <w:rStyle w:val="Strong"/>
        </w:rPr>
      </w:pPr>
    </w:p>
    <w:p w14:paraId="1C539276" w14:textId="77777777" w:rsidR="00B51FA1" w:rsidRDefault="00B51FA1" w:rsidP="00B51FA1">
      <w:pPr>
        <w:pStyle w:val="NormalWeb"/>
        <w:spacing w:before="0" w:beforeAutospacing="0" w:after="0" w:afterAutospacing="0"/>
        <w:jc w:val="center"/>
        <w:rPr>
          <w:rStyle w:val="Strong"/>
        </w:rPr>
      </w:pPr>
    </w:p>
    <w:p w14:paraId="55D240BE" w14:textId="77777777" w:rsidR="00B51FA1" w:rsidRDefault="00B51FA1" w:rsidP="00B51FA1">
      <w:pPr>
        <w:pStyle w:val="NormalWeb"/>
        <w:spacing w:before="0" w:beforeAutospacing="0" w:after="0" w:afterAutospacing="0"/>
        <w:jc w:val="center"/>
        <w:rPr>
          <w:rStyle w:val="Strong"/>
        </w:rPr>
      </w:pPr>
    </w:p>
    <w:p w14:paraId="79F29473" w14:textId="77777777" w:rsidR="00B51FA1" w:rsidRDefault="00B51FA1" w:rsidP="00B51FA1">
      <w:pPr>
        <w:pStyle w:val="NormalWeb"/>
        <w:spacing w:before="0" w:beforeAutospacing="0" w:after="0" w:afterAutospacing="0"/>
        <w:jc w:val="center"/>
        <w:rPr>
          <w:rStyle w:val="Strong"/>
        </w:rPr>
      </w:pPr>
    </w:p>
    <w:p w14:paraId="33B89CCB" w14:textId="77777777" w:rsidR="00B51FA1" w:rsidRDefault="00B51FA1" w:rsidP="00B51FA1">
      <w:pPr>
        <w:pStyle w:val="NormalWeb"/>
        <w:spacing w:before="0" w:beforeAutospacing="0" w:after="0" w:afterAutospacing="0"/>
        <w:jc w:val="center"/>
        <w:rPr>
          <w:rStyle w:val="Strong"/>
        </w:rPr>
      </w:pPr>
    </w:p>
    <w:p w14:paraId="32546C5D" w14:textId="77777777" w:rsidR="00B51FA1" w:rsidRDefault="00B51FA1" w:rsidP="00B51FA1">
      <w:pPr>
        <w:pStyle w:val="NormalWeb"/>
        <w:spacing w:before="0" w:beforeAutospacing="0" w:after="0" w:afterAutospacing="0"/>
        <w:jc w:val="center"/>
        <w:rPr>
          <w:rStyle w:val="Strong"/>
        </w:rPr>
      </w:pPr>
    </w:p>
    <w:p w14:paraId="5603279A" w14:textId="77777777" w:rsidR="00B51FA1" w:rsidRDefault="00B51FA1" w:rsidP="00B51FA1">
      <w:pPr>
        <w:pStyle w:val="NormalWeb"/>
        <w:spacing w:before="0" w:beforeAutospacing="0" w:after="0" w:afterAutospacing="0"/>
        <w:jc w:val="center"/>
        <w:rPr>
          <w:rStyle w:val="Strong"/>
        </w:rPr>
      </w:pPr>
    </w:p>
    <w:p w14:paraId="44CF847B" w14:textId="77777777" w:rsidR="00B51FA1" w:rsidRDefault="00B51FA1" w:rsidP="00B51FA1">
      <w:pPr>
        <w:pStyle w:val="NormalWeb"/>
        <w:spacing w:before="0" w:beforeAutospacing="0" w:after="0" w:afterAutospacing="0"/>
        <w:jc w:val="center"/>
        <w:rPr>
          <w:rStyle w:val="Strong"/>
        </w:rPr>
      </w:pPr>
    </w:p>
    <w:p w14:paraId="510C784D" w14:textId="77777777" w:rsidR="00B51FA1" w:rsidRDefault="00B51FA1" w:rsidP="00B51FA1">
      <w:pPr>
        <w:pStyle w:val="NormalWeb"/>
        <w:spacing w:before="0" w:beforeAutospacing="0" w:after="0" w:afterAutospacing="0"/>
        <w:jc w:val="center"/>
        <w:rPr>
          <w:rStyle w:val="Strong"/>
        </w:rPr>
      </w:pPr>
    </w:p>
    <w:p w14:paraId="70B4B0E3" w14:textId="77777777" w:rsidR="00B51FA1" w:rsidRDefault="00B51FA1" w:rsidP="00B51FA1">
      <w:pPr>
        <w:pStyle w:val="NormalWeb"/>
        <w:spacing w:before="0" w:beforeAutospacing="0" w:after="0" w:afterAutospacing="0"/>
        <w:jc w:val="center"/>
        <w:rPr>
          <w:rStyle w:val="Strong"/>
        </w:rPr>
      </w:pPr>
    </w:p>
    <w:p w14:paraId="28CC5F71" w14:textId="77777777" w:rsidR="00B51FA1" w:rsidRDefault="00B51FA1" w:rsidP="00B51FA1">
      <w:pPr>
        <w:pStyle w:val="NormalWeb"/>
        <w:spacing w:before="0" w:beforeAutospacing="0" w:after="0" w:afterAutospacing="0"/>
        <w:jc w:val="center"/>
        <w:rPr>
          <w:rStyle w:val="Strong"/>
        </w:rPr>
      </w:pPr>
    </w:p>
    <w:p w14:paraId="2739D5D4" w14:textId="77777777" w:rsidR="00B51FA1" w:rsidRDefault="00B51FA1" w:rsidP="00B51FA1">
      <w:pPr>
        <w:pStyle w:val="NormalWeb"/>
        <w:spacing w:before="0" w:beforeAutospacing="0" w:after="0" w:afterAutospacing="0"/>
        <w:jc w:val="center"/>
        <w:rPr>
          <w:rStyle w:val="Strong"/>
        </w:rPr>
      </w:pPr>
    </w:p>
    <w:p w14:paraId="00418B9C" w14:textId="77777777" w:rsidR="00B51FA1" w:rsidRDefault="00B51FA1" w:rsidP="00B51FA1">
      <w:pPr>
        <w:pStyle w:val="NormalWeb"/>
        <w:spacing w:before="0" w:beforeAutospacing="0" w:after="0" w:afterAutospacing="0"/>
        <w:jc w:val="center"/>
        <w:rPr>
          <w:rStyle w:val="Strong"/>
        </w:rPr>
      </w:pPr>
    </w:p>
    <w:p w14:paraId="1E6EA827" w14:textId="77777777" w:rsidR="00B51FA1" w:rsidRDefault="00B51FA1" w:rsidP="00B51FA1">
      <w:pPr>
        <w:pStyle w:val="NormalWeb"/>
        <w:spacing w:before="0" w:beforeAutospacing="0" w:after="0" w:afterAutospacing="0"/>
        <w:jc w:val="center"/>
        <w:rPr>
          <w:rStyle w:val="Strong"/>
        </w:rPr>
      </w:pPr>
    </w:p>
    <w:p w14:paraId="22E6562A" w14:textId="77777777" w:rsidR="00B51FA1" w:rsidRDefault="00B51FA1" w:rsidP="00B51FA1">
      <w:pPr>
        <w:pStyle w:val="NormalWeb"/>
        <w:spacing w:before="0" w:beforeAutospacing="0" w:after="0" w:afterAutospacing="0"/>
        <w:jc w:val="center"/>
        <w:rPr>
          <w:rStyle w:val="Strong"/>
        </w:rPr>
      </w:pPr>
    </w:p>
    <w:p w14:paraId="60F360F5" w14:textId="37921668" w:rsidR="00571A2C" w:rsidRPr="008612FD" w:rsidRDefault="00B51FA1" w:rsidP="00B51FA1">
      <w:pPr>
        <w:pStyle w:val="NormalWeb"/>
        <w:spacing w:before="0" w:beforeAutospacing="0" w:after="0" w:afterAutospacing="0"/>
        <w:jc w:val="center"/>
        <w:rPr>
          <w:rStyle w:val="Strong"/>
        </w:rPr>
      </w:pPr>
      <w:r w:rsidRPr="008612FD">
        <w:rPr>
          <w:rStyle w:val="Strong"/>
        </w:rPr>
        <w:t xml:space="preserve">The Mind of Christ </w:t>
      </w:r>
      <w:r w:rsidR="009832CB" w:rsidRPr="008612FD">
        <w:rPr>
          <w:rStyle w:val="Strong"/>
        </w:rPr>
        <w:t>and</w:t>
      </w:r>
      <w:r w:rsidRPr="008612FD">
        <w:rPr>
          <w:rStyle w:val="Strong"/>
        </w:rPr>
        <w:t xml:space="preserve"> the Philippians: An Exegesis on Philippians 2:1-11</w:t>
      </w:r>
    </w:p>
    <w:p w14:paraId="10D0ED61" w14:textId="77777777" w:rsidR="00B51FA1" w:rsidRDefault="00B51FA1" w:rsidP="00B51FA1">
      <w:pPr>
        <w:pStyle w:val="NormalWeb"/>
        <w:spacing w:before="0" w:beforeAutospacing="0" w:after="0" w:afterAutospacing="0"/>
        <w:jc w:val="center"/>
        <w:rPr>
          <w:rStyle w:val="Strong"/>
        </w:rPr>
      </w:pPr>
    </w:p>
    <w:p w14:paraId="44A1E308" w14:textId="77777777" w:rsidR="00B51FA1" w:rsidRDefault="00B51FA1" w:rsidP="00B51FA1">
      <w:pPr>
        <w:pStyle w:val="NormalWeb"/>
        <w:spacing w:before="0" w:beforeAutospacing="0" w:after="0" w:afterAutospacing="0"/>
        <w:jc w:val="center"/>
        <w:rPr>
          <w:rStyle w:val="Strong"/>
        </w:rPr>
      </w:pPr>
    </w:p>
    <w:p w14:paraId="4AF47A17" w14:textId="77777777" w:rsidR="00B51FA1" w:rsidRPr="008612FD" w:rsidRDefault="00B51FA1" w:rsidP="00B51FA1">
      <w:pPr>
        <w:pStyle w:val="NormalWeb"/>
        <w:spacing w:before="0" w:beforeAutospacing="0" w:after="0" w:afterAutospacing="0"/>
        <w:jc w:val="center"/>
        <w:rPr>
          <w:rStyle w:val="Strong"/>
          <w:lang w:val="en-US"/>
        </w:rPr>
      </w:pPr>
    </w:p>
    <w:p w14:paraId="3B86DC3B" w14:textId="77777777" w:rsidR="00B51FA1" w:rsidRDefault="00B51FA1" w:rsidP="00B51FA1">
      <w:pPr>
        <w:pStyle w:val="NormalWeb"/>
        <w:spacing w:before="0" w:beforeAutospacing="0" w:after="0" w:afterAutospacing="0"/>
        <w:jc w:val="center"/>
        <w:rPr>
          <w:rStyle w:val="Strong"/>
        </w:rPr>
      </w:pPr>
    </w:p>
    <w:p w14:paraId="19EF6ABA" w14:textId="77777777" w:rsidR="00B51FA1" w:rsidRDefault="00B51FA1" w:rsidP="00B51FA1">
      <w:pPr>
        <w:pStyle w:val="NormalWeb"/>
        <w:spacing w:before="0" w:beforeAutospacing="0" w:after="0" w:afterAutospacing="0"/>
        <w:jc w:val="center"/>
        <w:rPr>
          <w:rStyle w:val="Strong"/>
        </w:rPr>
      </w:pPr>
    </w:p>
    <w:p w14:paraId="357AE0C5" w14:textId="77777777" w:rsidR="00B51FA1" w:rsidRDefault="00B51FA1" w:rsidP="00B51FA1">
      <w:pPr>
        <w:pStyle w:val="NormalWeb"/>
        <w:spacing w:before="0" w:beforeAutospacing="0" w:after="0" w:afterAutospacing="0"/>
        <w:jc w:val="center"/>
        <w:rPr>
          <w:rStyle w:val="Strong"/>
        </w:rPr>
      </w:pPr>
    </w:p>
    <w:p w14:paraId="179A5449" w14:textId="77777777" w:rsidR="00B51FA1" w:rsidRDefault="00B51FA1" w:rsidP="00B51FA1">
      <w:pPr>
        <w:pStyle w:val="NormalWeb"/>
        <w:spacing w:before="0" w:beforeAutospacing="0" w:after="0" w:afterAutospacing="0"/>
        <w:jc w:val="center"/>
        <w:rPr>
          <w:rStyle w:val="Strong"/>
        </w:rPr>
      </w:pPr>
    </w:p>
    <w:p w14:paraId="1A0B6939" w14:textId="77777777" w:rsidR="00B51FA1" w:rsidRDefault="00B51FA1" w:rsidP="00B51FA1">
      <w:pPr>
        <w:pStyle w:val="NormalWeb"/>
        <w:spacing w:before="0" w:beforeAutospacing="0" w:after="0" w:afterAutospacing="0"/>
        <w:jc w:val="center"/>
        <w:rPr>
          <w:rStyle w:val="Strong"/>
        </w:rPr>
      </w:pPr>
    </w:p>
    <w:p w14:paraId="52FAAB65" w14:textId="77777777" w:rsidR="00B51FA1" w:rsidRDefault="00B51FA1" w:rsidP="00B51FA1">
      <w:pPr>
        <w:pStyle w:val="NormalWeb"/>
        <w:spacing w:before="0" w:beforeAutospacing="0" w:after="0" w:afterAutospacing="0"/>
        <w:jc w:val="center"/>
        <w:rPr>
          <w:rStyle w:val="Strong"/>
        </w:rPr>
      </w:pPr>
    </w:p>
    <w:p w14:paraId="6A7AA2C7" w14:textId="77777777" w:rsidR="00B51FA1" w:rsidRDefault="00B51FA1" w:rsidP="00B51FA1">
      <w:pPr>
        <w:pStyle w:val="NormalWeb"/>
        <w:spacing w:before="0" w:beforeAutospacing="0" w:after="0" w:afterAutospacing="0"/>
        <w:jc w:val="center"/>
        <w:rPr>
          <w:rStyle w:val="Strong"/>
        </w:rPr>
      </w:pPr>
    </w:p>
    <w:p w14:paraId="56B1D653" w14:textId="77777777" w:rsidR="00B51FA1" w:rsidRDefault="00B51FA1" w:rsidP="00B51FA1">
      <w:pPr>
        <w:pStyle w:val="NormalWeb"/>
        <w:spacing w:before="0" w:beforeAutospacing="0" w:after="0" w:afterAutospacing="0"/>
        <w:jc w:val="center"/>
        <w:rPr>
          <w:rStyle w:val="Strong"/>
        </w:rPr>
      </w:pPr>
    </w:p>
    <w:p w14:paraId="3D3E9145" w14:textId="77777777" w:rsidR="00B51FA1" w:rsidRDefault="00B51FA1" w:rsidP="00B51FA1">
      <w:pPr>
        <w:pStyle w:val="NormalWeb"/>
        <w:spacing w:before="0" w:beforeAutospacing="0" w:after="0" w:afterAutospacing="0"/>
        <w:jc w:val="center"/>
        <w:rPr>
          <w:rStyle w:val="Strong"/>
        </w:rPr>
      </w:pPr>
    </w:p>
    <w:p w14:paraId="59E8DEF4" w14:textId="77777777" w:rsidR="00B51FA1" w:rsidRDefault="00B51FA1" w:rsidP="00B51FA1">
      <w:pPr>
        <w:pStyle w:val="NormalWeb"/>
        <w:spacing w:before="0" w:beforeAutospacing="0" w:after="0" w:afterAutospacing="0"/>
        <w:jc w:val="center"/>
        <w:rPr>
          <w:rStyle w:val="Strong"/>
        </w:rPr>
      </w:pPr>
    </w:p>
    <w:p w14:paraId="7779D121" w14:textId="77777777" w:rsidR="00B51FA1" w:rsidRDefault="00B51FA1" w:rsidP="00B51FA1">
      <w:pPr>
        <w:pStyle w:val="NormalWeb"/>
        <w:spacing w:before="0" w:beforeAutospacing="0" w:after="0" w:afterAutospacing="0"/>
        <w:jc w:val="center"/>
        <w:rPr>
          <w:rStyle w:val="Strong"/>
        </w:rPr>
      </w:pPr>
    </w:p>
    <w:p w14:paraId="455AC4DC" w14:textId="77777777" w:rsidR="00B51FA1" w:rsidRDefault="00B51FA1" w:rsidP="00B51FA1">
      <w:pPr>
        <w:pStyle w:val="NormalWeb"/>
        <w:spacing w:before="0" w:beforeAutospacing="0" w:after="0" w:afterAutospacing="0"/>
        <w:jc w:val="center"/>
        <w:rPr>
          <w:rStyle w:val="Strong"/>
        </w:rPr>
      </w:pPr>
    </w:p>
    <w:p w14:paraId="7CE66353" w14:textId="77777777" w:rsidR="00B51FA1" w:rsidRDefault="00B51FA1" w:rsidP="00B51FA1">
      <w:pPr>
        <w:pStyle w:val="NormalWeb"/>
        <w:spacing w:before="0" w:beforeAutospacing="0" w:after="0" w:afterAutospacing="0"/>
        <w:jc w:val="center"/>
        <w:rPr>
          <w:rStyle w:val="Strong"/>
        </w:rPr>
      </w:pPr>
    </w:p>
    <w:p w14:paraId="3E604654" w14:textId="77777777" w:rsidR="00B51FA1" w:rsidRDefault="00B51FA1" w:rsidP="00B51FA1">
      <w:pPr>
        <w:pStyle w:val="NormalWeb"/>
        <w:spacing w:before="0" w:beforeAutospacing="0" w:after="0" w:afterAutospacing="0"/>
        <w:jc w:val="center"/>
        <w:rPr>
          <w:rStyle w:val="Strong"/>
        </w:rPr>
      </w:pPr>
    </w:p>
    <w:p w14:paraId="7E2C5E08" w14:textId="77777777" w:rsidR="00B51FA1" w:rsidRDefault="00B51FA1" w:rsidP="00B51FA1">
      <w:pPr>
        <w:pStyle w:val="NormalWeb"/>
        <w:spacing w:before="0" w:beforeAutospacing="0" w:after="0" w:afterAutospacing="0"/>
        <w:jc w:val="center"/>
        <w:rPr>
          <w:rStyle w:val="Strong"/>
        </w:rPr>
      </w:pPr>
    </w:p>
    <w:p w14:paraId="00D62407" w14:textId="77777777" w:rsidR="00B51FA1" w:rsidRDefault="00B51FA1" w:rsidP="00B51FA1">
      <w:pPr>
        <w:pStyle w:val="NormalWeb"/>
        <w:spacing w:before="0" w:beforeAutospacing="0" w:after="0" w:afterAutospacing="0"/>
        <w:jc w:val="center"/>
        <w:rPr>
          <w:rStyle w:val="Strong"/>
        </w:rPr>
      </w:pPr>
    </w:p>
    <w:p w14:paraId="4DB5C695" w14:textId="24CB615F" w:rsidR="00B51FA1" w:rsidRDefault="00B51FA1" w:rsidP="00B51FA1">
      <w:pPr>
        <w:pStyle w:val="NormalWeb"/>
        <w:spacing w:before="0" w:beforeAutospacing="0" w:after="0" w:afterAutospacing="0"/>
        <w:jc w:val="center"/>
        <w:rPr>
          <w:rStyle w:val="Strong"/>
          <w:b w:val="0"/>
          <w:bCs w:val="0"/>
        </w:rPr>
      </w:pPr>
      <w:r w:rsidRPr="00B51FA1">
        <w:rPr>
          <w:rStyle w:val="Strong"/>
          <w:b w:val="0"/>
          <w:bCs w:val="0"/>
        </w:rPr>
        <w:t xml:space="preserve">John </w:t>
      </w:r>
      <w:r w:rsidR="009832CB">
        <w:rPr>
          <w:rStyle w:val="Strong"/>
          <w:b w:val="0"/>
          <w:bCs w:val="0"/>
        </w:rPr>
        <w:t xml:space="preserve">Christopher </w:t>
      </w:r>
      <w:r w:rsidRPr="00B51FA1">
        <w:rPr>
          <w:rStyle w:val="Strong"/>
          <w:b w:val="0"/>
          <w:bCs w:val="0"/>
        </w:rPr>
        <w:t>Walz</w:t>
      </w:r>
    </w:p>
    <w:p w14:paraId="6186B6A1" w14:textId="77777777" w:rsidR="009832CB" w:rsidRDefault="009832CB" w:rsidP="00B51FA1">
      <w:pPr>
        <w:pStyle w:val="NormalWeb"/>
        <w:spacing w:before="0" w:beforeAutospacing="0" w:after="0" w:afterAutospacing="0"/>
        <w:jc w:val="center"/>
        <w:rPr>
          <w:rStyle w:val="Strong"/>
          <w:b w:val="0"/>
          <w:bCs w:val="0"/>
        </w:rPr>
      </w:pPr>
    </w:p>
    <w:p w14:paraId="6468754E" w14:textId="66A028AF" w:rsidR="00B51FA1" w:rsidRDefault="00B51FA1" w:rsidP="00B51FA1">
      <w:pPr>
        <w:pStyle w:val="NormalWeb"/>
        <w:spacing w:before="0" w:beforeAutospacing="0" w:after="0" w:afterAutospacing="0"/>
        <w:jc w:val="center"/>
        <w:rPr>
          <w:rStyle w:val="Strong"/>
          <w:b w:val="0"/>
          <w:bCs w:val="0"/>
        </w:rPr>
      </w:pPr>
      <w:r>
        <w:rPr>
          <w:rStyle w:val="Strong"/>
          <w:b w:val="0"/>
          <w:bCs w:val="0"/>
        </w:rPr>
        <w:t>NGRK645: Greek Exegesis: Philippians</w:t>
      </w:r>
    </w:p>
    <w:p w14:paraId="49987437" w14:textId="77777777" w:rsidR="009832CB" w:rsidRDefault="009832CB" w:rsidP="00B51FA1">
      <w:pPr>
        <w:pStyle w:val="NormalWeb"/>
        <w:spacing w:before="0" w:beforeAutospacing="0" w:after="0" w:afterAutospacing="0"/>
        <w:jc w:val="center"/>
        <w:rPr>
          <w:rStyle w:val="Strong"/>
          <w:b w:val="0"/>
          <w:bCs w:val="0"/>
        </w:rPr>
      </w:pPr>
    </w:p>
    <w:p w14:paraId="7842DA2E" w14:textId="1B290536" w:rsidR="009832CB" w:rsidRDefault="009832CB" w:rsidP="00B51FA1">
      <w:pPr>
        <w:pStyle w:val="NormalWeb"/>
        <w:spacing w:before="0" w:beforeAutospacing="0" w:after="0" w:afterAutospacing="0"/>
        <w:jc w:val="center"/>
        <w:rPr>
          <w:rStyle w:val="Strong"/>
          <w:b w:val="0"/>
          <w:bCs w:val="0"/>
        </w:rPr>
      </w:pPr>
      <w:r>
        <w:rPr>
          <w:rStyle w:val="Strong"/>
          <w:b w:val="0"/>
          <w:bCs w:val="0"/>
        </w:rPr>
        <w:t>November 28, 2025</w:t>
      </w:r>
    </w:p>
    <w:p w14:paraId="2325CCE5" w14:textId="77777777" w:rsidR="00B51FA1" w:rsidRDefault="00B51FA1" w:rsidP="00B51FA1">
      <w:pPr>
        <w:pStyle w:val="NormalWeb"/>
        <w:spacing w:before="0" w:beforeAutospacing="0" w:after="0" w:afterAutospacing="0"/>
        <w:jc w:val="center"/>
        <w:rPr>
          <w:rStyle w:val="Strong"/>
          <w:b w:val="0"/>
          <w:bCs w:val="0"/>
        </w:rPr>
      </w:pPr>
    </w:p>
    <w:p w14:paraId="068B517B" w14:textId="11AD5838" w:rsidR="00B51FA1" w:rsidRPr="00B51FA1" w:rsidRDefault="00B51FA1" w:rsidP="00B51FA1">
      <w:pPr>
        <w:pStyle w:val="NormalWeb"/>
        <w:spacing w:before="0" w:beforeAutospacing="0" w:after="0" w:afterAutospacing="0"/>
        <w:rPr>
          <w:rStyle w:val="Strong"/>
          <w:b w:val="0"/>
          <w:bCs w:val="0"/>
        </w:rPr>
        <w:sectPr w:rsidR="00B51FA1" w:rsidRPr="00B51FA1" w:rsidSect="00571A2C">
          <w:headerReference w:type="even" r:id="rId8"/>
          <w:headerReference w:type="default" r:id="rId9"/>
          <w:footerReference w:type="even" r:id="rId10"/>
          <w:footerReference w:type="default" r:id="rId11"/>
          <w:footerReference w:type="first" r:id="rId12"/>
          <w:pgSz w:w="12240" w:h="15840"/>
          <w:pgMar w:top="1440" w:right="1800" w:bottom="1440" w:left="1800" w:header="720" w:footer="720" w:gutter="0"/>
          <w:pgNumType w:fmt="lowerRoman"/>
          <w:cols w:space="720"/>
          <w:titlePg/>
          <w:docGrid w:linePitch="360"/>
        </w:sectPr>
      </w:pPr>
    </w:p>
    <w:p w14:paraId="49F71707" w14:textId="4C70C945" w:rsidR="00CE2397" w:rsidRPr="00F340A6" w:rsidRDefault="00CE2397" w:rsidP="009832CB">
      <w:pPr>
        <w:pStyle w:val="NormalWeb"/>
        <w:spacing w:before="0" w:beforeAutospacing="0" w:after="0" w:afterAutospacing="0" w:line="480" w:lineRule="auto"/>
        <w:jc w:val="center"/>
        <w:rPr>
          <w:rStyle w:val="Strong"/>
        </w:rPr>
      </w:pPr>
      <w:r w:rsidRPr="00F340A6">
        <w:rPr>
          <w:rStyle w:val="Strong"/>
        </w:rPr>
        <w:lastRenderedPageBreak/>
        <w:t>Contents</w:t>
      </w:r>
    </w:p>
    <w:p w14:paraId="3F206A56" w14:textId="7FFE9C27" w:rsidR="00CE2397" w:rsidRPr="00F340A6" w:rsidRDefault="00CE2397" w:rsidP="009832CB">
      <w:pPr>
        <w:pStyle w:val="NormalWeb"/>
        <w:tabs>
          <w:tab w:val="left" w:leader="dot" w:pos="8505"/>
        </w:tabs>
        <w:spacing w:before="0" w:beforeAutospacing="0" w:after="0" w:afterAutospacing="0" w:line="480" w:lineRule="auto"/>
      </w:pPr>
      <w:r w:rsidRPr="00F340A6">
        <w:rPr>
          <w:rStyle w:val="Strong"/>
        </w:rPr>
        <w:t>Introduction</w:t>
      </w:r>
      <w:r w:rsidRPr="00F340A6">
        <w:t xml:space="preserve"> </w:t>
      </w:r>
      <w:r w:rsidR="009832CB">
        <w:tab/>
        <w:t>1</w:t>
      </w:r>
    </w:p>
    <w:p w14:paraId="599C3617" w14:textId="68A73FDD" w:rsidR="00CE2397" w:rsidRPr="00F340A6" w:rsidRDefault="00CE2397" w:rsidP="009832CB">
      <w:pPr>
        <w:pStyle w:val="NormalWeb"/>
        <w:tabs>
          <w:tab w:val="left" w:leader="dot" w:pos="8505"/>
        </w:tabs>
        <w:spacing w:before="0" w:beforeAutospacing="0" w:after="0" w:afterAutospacing="0" w:line="480" w:lineRule="auto"/>
      </w:pPr>
      <w:r w:rsidRPr="00F340A6">
        <w:rPr>
          <w:rStyle w:val="Strong"/>
        </w:rPr>
        <w:t>Historical</w:t>
      </w:r>
      <w:r w:rsidR="009832CB">
        <w:rPr>
          <w:rStyle w:val="Strong"/>
        </w:rPr>
        <w:t xml:space="preserve"> Background</w:t>
      </w:r>
      <w:r w:rsidR="009832CB">
        <w:tab/>
      </w:r>
      <w:r w:rsidR="0092212F">
        <w:t>2</w:t>
      </w:r>
    </w:p>
    <w:p w14:paraId="6ACDA985" w14:textId="7955E802" w:rsidR="00CE2397" w:rsidRPr="00F340A6" w:rsidRDefault="00CE2397" w:rsidP="009832CB">
      <w:pPr>
        <w:pStyle w:val="NormalWeb"/>
        <w:tabs>
          <w:tab w:val="left" w:leader="dot" w:pos="8505"/>
        </w:tabs>
        <w:spacing w:before="0" w:beforeAutospacing="0" w:after="0" w:afterAutospacing="0" w:line="480" w:lineRule="auto"/>
        <w:ind w:firstLine="720"/>
      </w:pPr>
      <w:r w:rsidRPr="00F340A6">
        <w:t>Authorship</w:t>
      </w:r>
      <w:r w:rsidR="0092212F">
        <w:tab/>
        <w:t>2</w:t>
      </w:r>
    </w:p>
    <w:p w14:paraId="355EB20F" w14:textId="3294EE5D" w:rsidR="00CE2397" w:rsidRPr="00F340A6" w:rsidRDefault="00CE2397" w:rsidP="0092212F">
      <w:pPr>
        <w:pStyle w:val="NormalWeb"/>
        <w:tabs>
          <w:tab w:val="left" w:leader="dot" w:pos="8505"/>
        </w:tabs>
        <w:spacing w:before="0" w:beforeAutospacing="0" w:after="0" w:afterAutospacing="0" w:line="480" w:lineRule="auto"/>
        <w:ind w:firstLine="720"/>
      </w:pPr>
      <w:r w:rsidRPr="00F340A6">
        <w:t>Date</w:t>
      </w:r>
      <w:r w:rsidR="0092212F">
        <w:tab/>
        <w:t>3</w:t>
      </w:r>
    </w:p>
    <w:p w14:paraId="7CDB12A8" w14:textId="269A99FE" w:rsidR="00CE2397" w:rsidRPr="00F340A6" w:rsidRDefault="00CE2397" w:rsidP="0092212F">
      <w:pPr>
        <w:pStyle w:val="NormalWeb"/>
        <w:tabs>
          <w:tab w:val="left" w:leader="dot" w:pos="8505"/>
        </w:tabs>
        <w:spacing w:before="0" w:beforeAutospacing="0" w:after="0" w:afterAutospacing="0" w:line="480" w:lineRule="auto"/>
        <w:ind w:firstLine="720"/>
      </w:pPr>
      <w:r w:rsidRPr="00F340A6">
        <w:t>Audience</w:t>
      </w:r>
      <w:r w:rsidR="0092212F">
        <w:tab/>
        <w:t>3</w:t>
      </w:r>
    </w:p>
    <w:p w14:paraId="183213F7" w14:textId="23DFD601" w:rsidR="00CE2397" w:rsidRPr="00F340A6" w:rsidRDefault="00CE2397" w:rsidP="0092212F">
      <w:pPr>
        <w:pStyle w:val="NormalWeb"/>
        <w:tabs>
          <w:tab w:val="left" w:leader="dot" w:pos="8505"/>
        </w:tabs>
        <w:spacing w:before="0" w:beforeAutospacing="0" w:after="0" w:afterAutospacing="0" w:line="480" w:lineRule="auto"/>
        <w:ind w:firstLine="720"/>
      </w:pPr>
      <w:r w:rsidRPr="00F340A6">
        <w:t>Occasion</w:t>
      </w:r>
      <w:r w:rsidR="0092212F">
        <w:tab/>
        <w:t>4</w:t>
      </w:r>
    </w:p>
    <w:p w14:paraId="3CBDA485" w14:textId="6E7A1160" w:rsidR="00CE2397" w:rsidRPr="00F340A6" w:rsidRDefault="00CE2397" w:rsidP="0092212F">
      <w:pPr>
        <w:pStyle w:val="NormalWeb"/>
        <w:tabs>
          <w:tab w:val="left" w:leader="dot" w:pos="8505"/>
        </w:tabs>
        <w:spacing w:before="0" w:beforeAutospacing="0" w:after="0" w:afterAutospacing="0" w:line="480" w:lineRule="auto"/>
        <w:rPr>
          <w:b/>
          <w:bCs/>
        </w:rPr>
      </w:pPr>
      <w:r w:rsidRPr="00F340A6">
        <w:rPr>
          <w:b/>
          <w:bCs/>
        </w:rPr>
        <w:t>Cultural Background</w:t>
      </w:r>
      <w:r w:rsidR="0092212F">
        <w:rPr>
          <w:b/>
          <w:bCs/>
        </w:rPr>
        <w:tab/>
        <w:t>5</w:t>
      </w:r>
    </w:p>
    <w:p w14:paraId="703373A3" w14:textId="0F61294B" w:rsidR="00CE2397" w:rsidRPr="00F340A6" w:rsidRDefault="00CE2397" w:rsidP="0092212F">
      <w:pPr>
        <w:pStyle w:val="NormalWeb"/>
        <w:tabs>
          <w:tab w:val="left" w:leader="dot" w:pos="8505"/>
        </w:tabs>
        <w:spacing w:before="0" w:beforeAutospacing="0" w:after="0" w:afterAutospacing="0" w:line="480" w:lineRule="auto"/>
        <w:ind w:firstLine="720"/>
      </w:pPr>
      <w:r w:rsidRPr="00F340A6">
        <w:t>Honor and Shame</w:t>
      </w:r>
      <w:r w:rsidR="0092212F">
        <w:tab/>
        <w:t>5</w:t>
      </w:r>
    </w:p>
    <w:p w14:paraId="58D3E9D2" w14:textId="67A1739C" w:rsidR="00CE2397" w:rsidRPr="00F340A6" w:rsidRDefault="00CE2397" w:rsidP="0092212F">
      <w:pPr>
        <w:pStyle w:val="NormalWeb"/>
        <w:tabs>
          <w:tab w:val="left" w:leader="dot" w:pos="8505"/>
        </w:tabs>
        <w:spacing w:before="0" w:beforeAutospacing="0" w:after="0" w:afterAutospacing="0" w:line="480" w:lineRule="auto"/>
      </w:pPr>
      <w:r w:rsidRPr="00F340A6">
        <w:rPr>
          <w:rStyle w:val="Strong"/>
        </w:rPr>
        <w:t>Literary Context</w:t>
      </w:r>
      <w:r w:rsidR="0092212F">
        <w:tab/>
        <w:t>6</w:t>
      </w:r>
    </w:p>
    <w:p w14:paraId="7CCC43A4" w14:textId="7CFF7777" w:rsidR="00CE2397" w:rsidRPr="00F340A6" w:rsidRDefault="00CE2397" w:rsidP="0092212F">
      <w:pPr>
        <w:pStyle w:val="NormalWeb"/>
        <w:tabs>
          <w:tab w:val="left" w:leader="dot" w:pos="8505"/>
        </w:tabs>
        <w:spacing w:before="0" w:beforeAutospacing="0" w:after="0" w:afterAutospacing="0" w:line="480" w:lineRule="auto"/>
        <w:ind w:firstLine="720"/>
      </w:pPr>
      <w:r w:rsidRPr="00F340A6">
        <w:t>Outline of Philippians</w:t>
      </w:r>
      <w:r w:rsidR="0092212F">
        <w:tab/>
        <w:t>6</w:t>
      </w:r>
    </w:p>
    <w:p w14:paraId="56109E60" w14:textId="35014B9A" w:rsidR="00CE2397" w:rsidRPr="00F340A6" w:rsidRDefault="00CE2397" w:rsidP="0092212F">
      <w:pPr>
        <w:pStyle w:val="NormalWeb"/>
        <w:tabs>
          <w:tab w:val="left" w:leader="dot" w:pos="8364"/>
        </w:tabs>
        <w:spacing w:before="0" w:beforeAutospacing="0" w:after="0" w:afterAutospacing="0" w:line="480" w:lineRule="auto"/>
        <w:ind w:firstLine="720"/>
      </w:pPr>
      <w:r w:rsidRPr="00F340A6">
        <w:t>Contextual Summary</w:t>
      </w:r>
      <w:r w:rsidR="0092212F">
        <w:tab/>
        <w:t>10</w:t>
      </w:r>
    </w:p>
    <w:p w14:paraId="065902FC" w14:textId="6A32059B" w:rsidR="00CE2397" w:rsidRPr="00A87FCE" w:rsidRDefault="00CE2397" w:rsidP="0092212F">
      <w:pPr>
        <w:pStyle w:val="NormalWeb"/>
        <w:tabs>
          <w:tab w:val="left" w:leader="dot" w:pos="8364"/>
        </w:tabs>
        <w:spacing w:before="0" w:beforeAutospacing="0" w:after="0" w:afterAutospacing="0" w:line="480" w:lineRule="auto"/>
        <w:rPr>
          <w:b/>
          <w:bCs/>
        </w:rPr>
      </w:pPr>
      <w:r w:rsidRPr="00A87FCE">
        <w:rPr>
          <w:b/>
          <w:bCs/>
        </w:rPr>
        <w:t>Textual Variants</w:t>
      </w:r>
      <w:r w:rsidR="0092212F">
        <w:rPr>
          <w:b/>
          <w:bCs/>
        </w:rPr>
        <w:tab/>
        <w:t>10</w:t>
      </w:r>
    </w:p>
    <w:p w14:paraId="2A8F474C" w14:textId="65628A48" w:rsidR="00CE2397" w:rsidRPr="00A87FCE" w:rsidRDefault="00CE2397" w:rsidP="0092212F">
      <w:pPr>
        <w:pStyle w:val="NormalWeb"/>
        <w:tabs>
          <w:tab w:val="left" w:leader="dot" w:pos="8364"/>
        </w:tabs>
        <w:spacing w:before="0" w:beforeAutospacing="0" w:after="0" w:afterAutospacing="0" w:line="480" w:lineRule="auto"/>
        <w:rPr>
          <w:b/>
          <w:bCs/>
        </w:rPr>
      </w:pPr>
      <w:r w:rsidRPr="00A87FCE">
        <w:rPr>
          <w:b/>
          <w:bCs/>
        </w:rPr>
        <w:t>Translation</w:t>
      </w:r>
      <w:r w:rsidR="0092212F">
        <w:rPr>
          <w:b/>
          <w:bCs/>
        </w:rPr>
        <w:tab/>
        <w:t>12</w:t>
      </w:r>
    </w:p>
    <w:p w14:paraId="63A72D69" w14:textId="11C1AEE0" w:rsidR="00CE2397" w:rsidRPr="00F340A6" w:rsidRDefault="00CE2397" w:rsidP="0092212F">
      <w:pPr>
        <w:pStyle w:val="NormalWeb"/>
        <w:tabs>
          <w:tab w:val="left" w:leader="dot" w:pos="8364"/>
        </w:tabs>
        <w:spacing w:before="0" w:beforeAutospacing="0" w:after="0" w:afterAutospacing="0" w:line="480" w:lineRule="auto"/>
        <w:ind w:firstLine="720"/>
        <w:rPr>
          <w:b/>
          <w:bCs/>
          <w:color w:val="0D0D14"/>
        </w:rPr>
      </w:pPr>
      <w:r w:rsidRPr="00F340A6">
        <w:t>Translation Notes</w:t>
      </w:r>
      <w:r w:rsidR="00D5389D" w:rsidRPr="00F340A6">
        <w:t xml:space="preserve"> on Syntactical Choices </w:t>
      </w:r>
      <w:r w:rsidR="0092212F">
        <w:tab/>
        <w:t>13</w:t>
      </w:r>
    </w:p>
    <w:p w14:paraId="3D8D4BD2" w14:textId="65E8C7D1" w:rsidR="00D5389D" w:rsidRPr="00F340A6" w:rsidRDefault="00D5389D" w:rsidP="0092212F">
      <w:pPr>
        <w:pStyle w:val="NormalWeb"/>
        <w:tabs>
          <w:tab w:val="left" w:leader="dot" w:pos="8364"/>
        </w:tabs>
        <w:spacing w:before="0" w:beforeAutospacing="0" w:after="0" w:afterAutospacing="0" w:line="480" w:lineRule="auto"/>
        <w:rPr>
          <w:b/>
          <w:bCs/>
          <w:color w:val="0D0D14"/>
        </w:rPr>
      </w:pPr>
      <w:r w:rsidRPr="00F340A6">
        <w:rPr>
          <w:b/>
          <w:bCs/>
          <w:color w:val="0D0D14"/>
        </w:rPr>
        <w:t>Word Studies</w:t>
      </w:r>
      <w:r w:rsidR="0092212F">
        <w:rPr>
          <w:b/>
          <w:bCs/>
          <w:color w:val="0D0D14"/>
        </w:rPr>
        <w:tab/>
        <w:t>16</w:t>
      </w:r>
    </w:p>
    <w:p w14:paraId="3DC55081" w14:textId="38044EA3" w:rsidR="00D5389D" w:rsidRPr="00F340A6" w:rsidRDefault="00D5389D" w:rsidP="0092212F">
      <w:pPr>
        <w:pStyle w:val="NormalWeb"/>
        <w:tabs>
          <w:tab w:val="left" w:leader="dot" w:pos="8364"/>
        </w:tabs>
        <w:spacing w:before="0" w:beforeAutospacing="0" w:after="0" w:afterAutospacing="0" w:line="480" w:lineRule="auto"/>
        <w:ind w:firstLine="720"/>
        <w:rPr>
          <w:color w:val="0D0D14"/>
        </w:rPr>
      </w:pPr>
      <w:r w:rsidRPr="00F340A6">
        <w:rPr>
          <w:color w:val="0D0D14"/>
        </w:rPr>
        <w:t>Παράκλησις</w:t>
      </w:r>
      <w:r w:rsidR="0092212F">
        <w:rPr>
          <w:color w:val="0D0D14"/>
        </w:rPr>
        <w:tab/>
        <w:t>16</w:t>
      </w:r>
    </w:p>
    <w:p w14:paraId="558F4725" w14:textId="3BA1C31F" w:rsidR="009832CB" w:rsidRPr="0092212F" w:rsidRDefault="00D5389D"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n-TW" w:bidi="he-IL"/>
        </w:rPr>
      </w:pPr>
      <w:r w:rsidRPr="0092212F">
        <w:rPr>
          <w:rFonts w:ascii="Times New Roman" w:hAnsi="Times New Roman" w:cs="Times New Roman"/>
          <w:color w:val="0D0D14"/>
          <w:sz w:val="24"/>
          <w:szCs w:val="24"/>
          <w:lang w:val="el-GR" w:bidi="he-IL"/>
        </w:rPr>
        <w:t>Σπλάγχνα</w:t>
      </w:r>
      <w:r w:rsidR="0092212F" w:rsidRPr="00484709">
        <w:rPr>
          <w:rFonts w:ascii="Times New Roman" w:hAnsi="Times New Roman" w:cs="Times New Roman"/>
          <w:color w:val="0D0D14"/>
          <w:sz w:val="24"/>
          <w:szCs w:val="24"/>
          <w:lang w:val="en-TW" w:bidi="he-IL"/>
        </w:rPr>
        <w:tab/>
        <w:t>19</w:t>
      </w:r>
    </w:p>
    <w:p w14:paraId="374A5359" w14:textId="6FE2457E" w:rsidR="00D5389D" w:rsidRPr="0092212F" w:rsidRDefault="00D5389D"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n-TW" w:bidi="he-IL"/>
        </w:rPr>
      </w:pPr>
      <w:r w:rsidRPr="0092212F">
        <w:rPr>
          <w:rFonts w:ascii="Times New Roman" w:hAnsi="Times New Roman" w:cs="Times New Roman"/>
          <w:color w:val="0D0D14"/>
          <w:sz w:val="24"/>
          <w:szCs w:val="24"/>
          <w:lang w:val="el-GR" w:bidi="he-IL"/>
        </w:rPr>
        <w:t>Φρονέω</w:t>
      </w:r>
      <w:r w:rsidR="0092212F" w:rsidRPr="00484709">
        <w:rPr>
          <w:rFonts w:ascii="Times New Roman" w:hAnsi="Times New Roman" w:cs="Times New Roman"/>
          <w:color w:val="0D0D14"/>
          <w:sz w:val="24"/>
          <w:szCs w:val="24"/>
          <w:lang w:val="en-TW" w:bidi="he-IL"/>
        </w:rPr>
        <w:tab/>
        <w:t>21</w:t>
      </w:r>
    </w:p>
    <w:p w14:paraId="4A9F6757" w14:textId="50FC7CFC" w:rsidR="00D5389D" w:rsidRPr="0092212F" w:rsidRDefault="00D5389D"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n-TW" w:bidi="he-IL"/>
        </w:rPr>
      </w:pPr>
      <w:r w:rsidRPr="0092212F">
        <w:rPr>
          <w:rFonts w:ascii="Times New Roman" w:hAnsi="Times New Roman" w:cs="Times New Roman"/>
          <w:color w:val="0D0D14"/>
          <w:sz w:val="24"/>
          <w:szCs w:val="24"/>
          <w:lang w:val="el-GR" w:bidi="he-IL"/>
        </w:rPr>
        <w:t>Μορφή</w:t>
      </w:r>
      <w:r w:rsidR="0092212F" w:rsidRPr="0092212F">
        <w:rPr>
          <w:rFonts w:ascii="Times New Roman" w:hAnsi="Times New Roman" w:cs="Times New Roman"/>
          <w:color w:val="0D0D14"/>
          <w:sz w:val="24"/>
          <w:szCs w:val="24"/>
          <w:lang w:val="el-GR" w:bidi="he-IL"/>
        </w:rPr>
        <w:tab/>
        <w:t>24</w:t>
      </w:r>
    </w:p>
    <w:p w14:paraId="15994548" w14:textId="0ED3B21A" w:rsidR="00D5389D" w:rsidRPr="0092212F" w:rsidRDefault="00E00B0C"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n-TW" w:bidi="he-IL"/>
        </w:rPr>
      </w:pPr>
      <w:r>
        <w:rPr>
          <w:rFonts w:ascii="Times New Roman" w:hAnsi="Times New Roman" w:cs="Times New Roman"/>
          <w:color w:val="0D0D14"/>
          <w:sz w:val="24"/>
          <w:szCs w:val="24"/>
          <w:lang w:val="el-GR" w:bidi="he-IL"/>
        </w:rPr>
        <w:t>Ἁ</w:t>
      </w:r>
      <w:r w:rsidR="00D5389D" w:rsidRPr="0092212F">
        <w:rPr>
          <w:rFonts w:ascii="Times New Roman" w:hAnsi="Times New Roman" w:cs="Times New Roman"/>
          <w:color w:val="0D0D14"/>
          <w:sz w:val="24"/>
          <w:szCs w:val="24"/>
          <w:lang w:val="el-GR" w:bidi="he-IL"/>
        </w:rPr>
        <w:t>ρπαγμός</w:t>
      </w:r>
      <w:r w:rsidR="0092212F" w:rsidRPr="0092212F">
        <w:rPr>
          <w:rFonts w:ascii="Times New Roman" w:hAnsi="Times New Roman" w:cs="Times New Roman"/>
          <w:color w:val="0D0D14"/>
          <w:sz w:val="24"/>
          <w:szCs w:val="24"/>
          <w:lang w:val="el-GR" w:bidi="he-IL"/>
        </w:rPr>
        <w:tab/>
        <w:t>25</w:t>
      </w:r>
    </w:p>
    <w:p w14:paraId="58EA344E" w14:textId="2279A283" w:rsidR="00D5389D" w:rsidRPr="0092212F" w:rsidRDefault="00E00B0C"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l-GR" w:bidi="he-IL"/>
        </w:rPr>
      </w:pPr>
      <w:r>
        <w:rPr>
          <w:rFonts w:ascii="Times New Roman" w:hAnsi="Times New Roman" w:cs="Times New Roman"/>
          <w:color w:val="0D0D14"/>
          <w:sz w:val="24"/>
          <w:szCs w:val="24"/>
          <w:lang w:val="el-GR" w:bidi="he-IL"/>
        </w:rPr>
        <w:t>Κ</w:t>
      </w:r>
      <w:r w:rsidR="00D5389D" w:rsidRPr="0092212F">
        <w:rPr>
          <w:rFonts w:ascii="Times New Roman" w:hAnsi="Times New Roman" w:cs="Times New Roman"/>
          <w:color w:val="0D0D14"/>
          <w:sz w:val="24"/>
          <w:szCs w:val="24"/>
          <w:lang w:val="el-GR" w:bidi="he-IL"/>
        </w:rPr>
        <w:t>ενόω</w:t>
      </w:r>
      <w:r w:rsidR="0092212F" w:rsidRPr="0092212F">
        <w:rPr>
          <w:rFonts w:ascii="Times New Roman" w:hAnsi="Times New Roman" w:cs="Times New Roman"/>
          <w:color w:val="0D0D14"/>
          <w:sz w:val="24"/>
          <w:szCs w:val="24"/>
          <w:lang w:val="el-GR" w:bidi="he-IL"/>
        </w:rPr>
        <w:tab/>
        <w:t>26</w:t>
      </w:r>
    </w:p>
    <w:p w14:paraId="30AC582A" w14:textId="7E6F71E1" w:rsidR="00D5389D" w:rsidRPr="00484709" w:rsidRDefault="00E00B0C"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l-GR" w:bidi="he-IL"/>
        </w:rPr>
      </w:pPr>
      <w:r>
        <w:rPr>
          <w:rFonts w:ascii="Times New Roman" w:hAnsi="Times New Roman" w:cs="Times New Roman"/>
          <w:color w:val="0D0D14"/>
          <w:sz w:val="24"/>
          <w:szCs w:val="24"/>
          <w:lang w:val="el-GR" w:bidi="he-IL"/>
        </w:rPr>
        <w:t>Τ</w:t>
      </w:r>
      <w:r w:rsidR="00D5389D" w:rsidRPr="00484709">
        <w:rPr>
          <w:rFonts w:ascii="Times New Roman" w:hAnsi="Times New Roman" w:cs="Times New Roman"/>
          <w:color w:val="0D0D14"/>
          <w:sz w:val="24"/>
          <w:szCs w:val="24"/>
          <w:lang w:val="el-GR" w:bidi="he-IL"/>
        </w:rPr>
        <w:t>απεινόω</w:t>
      </w:r>
      <w:r w:rsidR="0092212F" w:rsidRPr="00484709">
        <w:rPr>
          <w:rFonts w:ascii="Times New Roman" w:hAnsi="Times New Roman" w:cs="Times New Roman"/>
          <w:color w:val="0D0D14"/>
          <w:sz w:val="24"/>
          <w:szCs w:val="24"/>
          <w:lang w:val="el-GR" w:bidi="he-IL"/>
        </w:rPr>
        <w:tab/>
        <w:t>28</w:t>
      </w:r>
    </w:p>
    <w:p w14:paraId="25AB2508" w14:textId="5ED0CFC0" w:rsidR="00D5389D" w:rsidRPr="00484709" w:rsidRDefault="00E00B0C" w:rsidP="0092212F">
      <w:pPr>
        <w:tabs>
          <w:tab w:val="left" w:leader="dot" w:pos="8364"/>
        </w:tabs>
        <w:autoSpaceDE w:val="0"/>
        <w:autoSpaceDN w:val="0"/>
        <w:adjustRightInd w:val="0"/>
        <w:spacing w:after="0" w:line="480" w:lineRule="auto"/>
        <w:ind w:left="720"/>
        <w:rPr>
          <w:rFonts w:ascii="Times New Roman" w:hAnsi="Times New Roman" w:cs="Times New Roman"/>
          <w:color w:val="0D0D14"/>
          <w:sz w:val="24"/>
          <w:szCs w:val="24"/>
          <w:lang w:val="el-GR" w:bidi="he-IL"/>
        </w:rPr>
      </w:pPr>
      <w:r>
        <w:rPr>
          <w:rFonts w:ascii="Times New Roman" w:hAnsi="Times New Roman" w:cs="Times New Roman"/>
          <w:color w:val="0D0D14"/>
          <w:sz w:val="24"/>
          <w:szCs w:val="24"/>
          <w:lang w:val="el-GR" w:bidi="he-IL"/>
        </w:rPr>
        <w:lastRenderedPageBreak/>
        <w:t>Ὑ</w:t>
      </w:r>
      <w:r w:rsidR="00D5389D" w:rsidRPr="00484709">
        <w:rPr>
          <w:rFonts w:ascii="Times New Roman" w:hAnsi="Times New Roman" w:cs="Times New Roman"/>
          <w:color w:val="0D0D14"/>
          <w:sz w:val="24"/>
          <w:szCs w:val="24"/>
          <w:lang w:val="el-GR" w:bidi="he-IL"/>
        </w:rPr>
        <w:t>πήκοος</w:t>
      </w:r>
      <w:r w:rsidR="0092212F" w:rsidRPr="00484709">
        <w:rPr>
          <w:rFonts w:ascii="Times New Roman" w:hAnsi="Times New Roman" w:cs="Times New Roman"/>
          <w:color w:val="0D0D14"/>
          <w:sz w:val="24"/>
          <w:szCs w:val="24"/>
          <w:lang w:val="el-GR" w:bidi="he-IL"/>
        </w:rPr>
        <w:tab/>
        <w:t>30</w:t>
      </w:r>
    </w:p>
    <w:p w14:paraId="222C21B5" w14:textId="1586983C" w:rsidR="008E5363" w:rsidRPr="00A87FCE" w:rsidRDefault="00CE2397" w:rsidP="00135FCB">
      <w:pPr>
        <w:pStyle w:val="NormalWeb"/>
        <w:tabs>
          <w:tab w:val="left" w:leader="dot" w:pos="8364"/>
        </w:tabs>
        <w:spacing w:before="0" w:beforeAutospacing="0" w:after="0" w:afterAutospacing="0" w:line="480" w:lineRule="auto"/>
        <w:ind w:left="709" w:hanging="709"/>
      </w:pPr>
      <w:r w:rsidRPr="00A87FCE">
        <w:rPr>
          <w:rStyle w:val="Strong"/>
        </w:rPr>
        <w:t>Exegetical Analysis of Philippians 2:1–11</w:t>
      </w:r>
      <w:r w:rsidR="0092212F">
        <w:rPr>
          <w:rStyle w:val="Strong"/>
        </w:rPr>
        <w:tab/>
        <w:t>31</w:t>
      </w:r>
      <w:r w:rsidRPr="00A87FCE">
        <w:br/>
      </w:r>
      <w:r w:rsidRPr="00A87FCE">
        <w:rPr>
          <w:rStyle w:val="Strong"/>
          <w:b w:val="0"/>
          <w:bCs w:val="0"/>
        </w:rPr>
        <w:t xml:space="preserve">2:1 – </w:t>
      </w:r>
      <w:r w:rsidR="008E5363" w:rsidRPr="00A87FCE">
        <w:rPr>
          <w:rStyle w:val="Strong"/>
          <w:b w:val="0"/>
          <w:bCs w:val="0"/>
          <w:color w:val="0E101A"/>
        </w:rPr>
        <w:t>Connection to 1:30 or 1:27</w:t>
      </w:r>
      <w:r w:rsidR="0092212F">
        <w:rPr>
          <w:rStyle w:val="Strong"/>
          <w:b w:val="0"/>
          <w:bCs w:val="0"/>
          <w:color w:val="0E101A"/>
        </w:rPr>
        <w:tab/>
        <w:t>31</w:t>
      </w:r>
    </w:p>
    <w:p w14:paraId="7057C197" w14:textId="5EA9E62D" w:rsidR="00CE42D7" w:rsidRPr="00A87FCE" w:rsidRDefault="008E5363" w:rsidP="0092212F">
      <w:pPr>
        <w:pStyle w:val="NormalWeb"/>
        <w:tabs>
          <w:tab w:val="left" w:leader="dot" w:pos="8364"/>
        </w:tabs>
        <w:spacing w:before="0" w:beforeAutospacing="0" w:after="0" w:afterAutospacing="0" w:line="480" w:lineRule="auto"/>
        <w:ind w:left="709"/>
      </w:pPr>
      <w:r w:rsidRPr="00A87FCE">
        <w:rPr>
          <w:color w:val="0D0D14"/>
        </w:rPr>
        <w:t>First-Class Conditionals or Independent Clauses</w:t>
      </w:r>
      <w:r w:rsidR="0092212F">
        <w:rPr>
          <w:color w:val="0D0D14"/>
        </w:rPr>
        <w:tab/>
      </w:r>
      <w:r w:rsidR="00801852">
        <w:rPr>
          <w:color w:val="0D0D14"/>
        </w:rPr>
        <w:t>32</w:t>
      </w:r>
      <w:r w:rsidR="00CE2397" w:rsidRPr="00A87FCE">
        <w:br/>
      </w:r>
      <w:r w:rsidR="00CE2397" w:rsidRPr="00A87FCE">
        <w:rPr>
          <w:rStyle w:val="Strong"/>
          <w:b w:val="0"/>
          <w:bCs w:val="0"/>
        </w:rPr>
        <w:t>2:2 – The ἵνα Clause and the Content of Paul’s Joy</w:t>
      </w:r>
      <w:r w:rsidR="00801852">
        <w:tab/>
        <w:t>34</w:t>
      </w:r>
      <w:r w:rsidR="00CE2397" w:rsidRPr="00A87FCE">
        <w:br/>
      </w:r>
      <w:r w:rsidR="00CE2397" w:rsidRPr="00A87FCE">
        <w:rPr>
          <w:rStyle w:val="Strong"/>
          <w:b w:val="0"/>
          <w:bCs w:val="0"/>
        </w:rPr>
        <w:t>2:3 – Supplying the Verb in the Elliptical Construction</w:t>
      </w:r>
      <w:r w:rsidR="00801852">
        <w:tab/>
        <w:t>35</w:t>
      </w:r>
      <w:r w:rsidR="00CE2397" w:rsidRPr="00A87FCE">
        <w:br/>
      </w:r>
      <w:r w:rsidR="00CE2397" w:rsidRPr="00A87FCE">
        <w:rPr>
          <w:rStyle w:val="Strong"/>
          <w:b w:val="0"/>
          <w:bCs w:val="0"/>
        </w:rPr>
        <w:t>2:4 – The Function of the Participle σκοποῦντες</w:t>
      </w:r>
      <w:r w:rsidR="00801852">
        <w:tab/>
        <w:t>38</w:t>
      </w:r>
      <w:r w:rsidR="00CE2397" w:rsidRPr="00A87FCE">
        <w:br/>
      </w:r>
      <w:r w:rsidR="00CE2397" w:rsidRPr="00A87FCE">
        <w:rPr>
          <w:rStyle w:val="Strong"/>
          <w:b w:val="0"/>
          <w:bCs w:val="0"/>
        </w:rPr>
        <w:t>2:5 – The Function of τοῦτο</w:t>
      </w:r>
      <w:r w:rsidR="00801852">
        <w:tab/>
        <w:t>39</w:t>
      </w:r>
      <w:r w:rsidR="00CE2397" w:rsidRPr="00A87FCE">
        <w:br/>
      </w:r>
      <w:r w:rsidR="00CE2397" w:rsidRPr="00A87FCE">
        <w:rPr>
          <w:rStyle w:val="Strong"/>
          <w:b w:val="0"/>
          <w:bCs w:val="0"/>
        </w:rPr>
        <w:t>2:6</w:t>
      </w:r>
      <w:r w:rsidRPr="00A87FCE">
        <w:rPr>
          <w:rStyle w:val="Strong"/>
          <w:b w:val="0"/>
          <w:bCs w:val="0"/>
        </w:rPr>
        <w:t>-7</w:t>
      </w:r>
      <w:r w:rsidR="00CE2397" w:rsidRPr="00A87FCE">
        <w:rPr>
          <w:rStyle w:val="Strong"/>
          <w:b w:val="0"/>
          <w:bCs w:val="0"/>
        </w:rPr>
        <w:t xml:space="preserve"> – The Participle ὑπάρχων and Equality with God</w:t>
      </w:r>
      <w:r w:rsidR="00801852">
        <w:rPr>
          <w:rStyle w:val="Strong"/>
          <w:b w:val="0"/>
          <w:bCs w:val="0"/>
        </w:rPr>
        <w:tab/>
        <w:t>42</w:t>
      </w:r>
    </w:p>
    <w:p w14:paraId="54BDF27B" w14:textId="4FE0BB8C" w:rsidR="00CE2397" w:rsidRPr="00135FCB" w:rsidRDefault="00801852" w:rsidP="0092212F">
      <w:pPr>
        <w:pStyle w:val="NormalWeb"/>
        <w:tabs>
          <w:tab w:val="left" w:leader="dot" w:pos="8364"/>
        </w:tabs>
        <w:spacing w:before="0" w:beforeAutospacing="0" w:after="0" w:afterAutospacing="0" w:line="480" w:lineRule="auto"/>
        <w:ind w:left="709"/>
        <w:rPr>
          <w:lang w:val="en-US"/>
        </w:rPr>
      </w:pPr>
      <w:r>
        <w:t>Equal or not Equal</w:t>
      </w:r>
      <w:r w:rsidR="00CE42D7" w:rsidRPr="00A87FCE">
        <w:t>?</w:t>
      </w:r>
      <w:r>
        <w:tab/>
        <w:t>43</w:t>
      </w:r>
      <w:r w:rsidR="00CE2397" w:rsidRPr="00A87FCE">
        <w:br/>
      </w:r>
      <w:r w:rsidR="00CE2397" w:rsidRPr="00A87FCE">
        <w:rPr>
          <w:rStyle w:val="Strong"/>
          <w:b w:val="0"/>
          <w:bCs w:val="0"/>
        </w:rPr>
        <w:t>The Meaning of ἐκένωσεν</w:t>
      </w:r>
      <w:r>
        <w:tab/>
        <w:t>45</w:t>
      </w:r>
      <w:r w:rsidR="00CE2397" w:rsidRPr="00A87FCE">
        <w:br/>
      </w:r>
      <w:r w:rsidR="00CE2397" w:rsidRPr="00A87FCE">
        <w:rPr>
          <w:rStyle w:val="Strong"/>
          <w:b w:val="0"/>
          <w:bCs w:val="0"/>
        </w:rPr>
        <w:t>The Language of Christ’s Incarnation</w:t>
      </w:r>
      <w:r>
        <w:tab/>
        <w:t>46</w:t>
      </w:r>
      <w:r w:rsidR="00CE2397" w:rsidRPr="00A87FCE">
        <w:br/>
      </w:r>
      <w:r w:rsidR="00CE2397" w:rsidRPr="00A87FCE">
        <w:rPr>
          <w:rStyle w:val="Strong"/>
          <w:b w:val="0"/>
          <w:bCs w:val="0"/>
        </w:rPr>
        <w:t>2:8 – The Participle γίνομαι and Christ’s Obedience</w:t>
      </w:r>
      <w:r>
        <w:tab/>
        <w:t>48</w:t>
      </w:r>
      <w:r w:rsidR="00CE2397" w:rsidRPr="00A87FCE">
        <w:br/>
      </w:r>
      <w:r w:rsidR="00CE2397" w:rsidRPr="00A87FCE">
        <w:rPr>
          <w:rStyle w:val="Strong"/>
          <w:b w:val="0"/>
          <w:bCs w:val="0"/>
        </w:rPr>
        <w:t>2:9–11 – Christ’s Exaltation and the Bestowal of the Name</w:t>
      </w:r>
      <w:r>
        <w:rPr>
          <w:rStyle w:val="Strong"/>
          <w:b w:val="0"/>
          <w:bCs w:val="0"/>
        </w:rPr>
        <w:tab/>
      </w:r>
      <w:r w:rsidR="008543A4" w:rsidRPr="008543A4">
        <w:rPr>
          <w:rStyle w:val="Strong"/>
          <w:b w:val="0"/>
          <w:bCs w:val="0"/>
          <w:lang w:val="en-US"/>
        </w:rPr>
        <w:t>49</w:t>
      </w:r>
      <w:r w:rsidR="00CE2397" w:rsidRPr="00A87FCE">
        <w:br/>
        <w:t> </w:t>
      </w:r>
      <w:r w:rsidR="00CE2397" w:rsidRPr="00A87FCE">
        <w:rPr>
          <w:rStyle w:val="Strong"/>
          <w:b w:val="0"/>
          <w:bCs w:val="0"/>
        </w:rPr>
        <w:t>The ἵνα + Subjunctive Construction</w:t>
      </w:r>
      <w:r>
        <w:tab/>
        <w:t>50</w:t>
      </w:r>
      <w:r w:rsidR="00CE2397" w:rsidRPr="00A87FCE">
        <w:br/>
      </w:r>
      <w:r w:rsidR="00135FCB" w:rsidRPr="00F340A6">
        <w:rPr>
          <w:b/>
          <w:bCs/>
          <w:color w:val="0D0D14"/>
        </w:rPr>
        <w:t>καί… ἐξομολογήσηται</w:t>
      </w:r>
      <w:r w:rsidR="00135FCB">
        <w:rPr>
          <w:b/>
          <w:bCs/>
          <w:color w:val="0D0D14"/>
        </w:rPr>
        <w:t xml:space="preserve"> and the </w:t>
      </w:r>
      <w:r w:rsidR="00135FCB" w:rsidRPr="00A87FCE">
        <w:rPr>
          <w:rStyle w:val="Strong"/>
          <w:b w:val="0"/>
          <w:bCs w:val="0"/>
        </w:rPr>
        <w:t>Universal Confession to the Glory of God</w:t>
      </w:r>
      <w:r w:rsidR="00135FCB">
        <w:rPr>
          <w:rStyle w:val="Strong"/>
          <w:b w:val="0"/>
          <w:bCs w:val="0"/>
        </w:rPr>
        <w:tab/>
        <w:t>51</w:t>
      </w:r>
    </w:p>
    <w:p w14:paraId="160C46AE" w14:textId="36E10CCD" w:rsidR="00CE2397" w:rsidRPr="00F340A6" w:rsidRDefault="00CE2397" w:rsidP="00135FCB">
      <w:pPr>
        <w:pStyle w:val="NormalWeb"/>
        <w:tabs>
          <w:tab w:val="left" w:leader="dot" w:pos="8364"/>
        </w:tabs>
        <w:spacing w:before="0" w:beforeAutospacing="0" w:after="0" w:afterAutospacing="0" w:line="480" w:lineRule="auto"/>
        <w:ind w:left="426" w:hanging="426"/>
      </w:pPr>
      <w:r w:rsidRPr="00F340A6">
        <w:rPr>
          <w:rStyle w:val="Strong"/>
        </w:rPr>
        <w:t>Theological Themes of Philippians 2:1–11</w:t>
      </w:r>
      <w:r w:rsidR="00135FCB">
        <w:rPr>
          <w:rStyle w:val="Strong"/>
        </w:rPr>
        <w:tab/>
        <w:t>5</w:t>
      </w:r>
      <w:r w:rsidR="00931C0F" w:rsidRPr="00484709">
        <w:rPr>
          <w:rStyle w:val="Strong"/>
          <w:lang w:val="en-US"/>
        </w:rPr>
        <w:t>2</w:t>
      </w:r>
      <w:r w:rsidRPr="00F340A6">
        <w:br/>
        <w:t>    1. Christology</w:t>
      </w:r>
      <w:r w:rsidR="00135FCB">
        <w:tab/>
        <w:t>53</w:t>
      </w:r>
      <w:r w:rsidRPr="00F340A6">
        <w:br/>
        <w:t>    2. Theology Proper</w:t>
      </w:r>
      <w:r w:rsidR="00135FCB">
        <w:tab/>
        <w:t>53</w:t>
      </w:r>
      <w:r w:rsidRPr="00F340A6">
        <w:br/>
        <w:t>    3. Pneumatolog</w:t>
      </w:r>
      <w:r w:rsidR="00135FCB">
        <w:t>y</w:t>
      </w:r>
      <w:r w:rsidR="00135FCB">
        <w:tab/>
        <w:t>54</w:t>
      </w:r>
      <w:r w:rsidRPr="00F340A6">
        <w:br/>
        <w:t>    4. Anthropology</w:t>
      </w:r>
      <w:r w:rsidR="00135FCB">
        <w:tab/>
        <w:t>54</w:t>
      </w:r>
      <w:r w:rsidRPr="00F340A6">
        <w:br/>
        <w:t>    5. Ecclesiology</w:t>
      </w:r>
      <w:r w:rsidR="00135FCB">
        <w:tab/>
        <w:t>54</w:t>
      </w:r>
      <w:r w:rsidRPr="00F340A6">
        <w:br/>
      </w:r>
      <w:r w:rsidRPr="00F340A6">
        <w:lastRenderedPageBreak/>
        <w:t>    6. Soteriology</w:t>
      </w:r>
      <w:r w:rsidR="00135FCB">
        <w:tab/>
        <w:t>55</w:t>
      </w:r>
      <w:r w:rsidRPr="00F340A6">
        <w:br/>
        <w:t>    7. Eschatology</w:t>
      </w:r>
      <w:r w:rsidR="00135FCB">
        <w:tab/>
        <w:t>55</w:t>
      </w:r>
    </w:p>
    <w:p w14:paraId="70004D8F" w14:textId="5236E33E" w:rsidR="00CE2397" w:rsidRPr="00F340A6" w:rsidRDefault="00CE2397" w:rsidP="0092212F">
      <w:pPr>
        <w:pStyle w:val="NormalWeb"/>
        <w:tabs>
          <w:tab w:val="left" w:leader="dot" w:pos="8364"/>
        </w:tabs>
        <w:spacing w:before="0" w:beforeAutospacing="0" w:after="0" w:afterAutospacing="0" w:line="480" w:lineRule="auto"/>
      </w:pPr>
      <w:r w:rsidRPr="00F340A6">
        <w:rPr>
          <w:rStyle w:val="Strong"/>
        </w:rPr>
        <w:t>Application for Contemporary Western and Eastern Contexts</w:t>
      </w:r>
      <w:r w:rsidR="00135FCB">
        <w:tab/>
        <w:t>55</w:t>
      </w:r>
    </w:p>
    <w:p w14:paraId="56AC6AAC" w14:textId="36EC25FC" w:rsidR="00CE2397" w:rsidRPr="00F340A6" w:rsidRDefault="00CE2397" w:rsidP="0092212F">
      <w:pPr>
        <w:pStyle w:val="NormalWeb"/>
        <w:tabs>
          <w:tab w:val="left" w:leader="dot" w:pos="8364"/>
        </w:tabs>
        <w:spacing w:before="0" w:beforeAutospacing="0" w:after="0" w:afterAutospacing="0" w:line="480" w:lineRule="auto"/>
      </w:pPr>
      <w:r w:rsidRPr="00F340A6">
        <w:rPr>
          <w:rStyle w:val="Strong"/>
        </w:rPr>
        <w:t>Conclusion</w:t>
      </w:r>
      <w:r w:rsidR="00135FCB">
        <w:tab/>
        <w:t>57</w:t>
      </w:r>
    </w:p>
    <w:p w14:paraId="2F852EC3" w14:textId="0C12BCD6" w:rsidR="00CE2397" w:rsidRPr="00F340A6" w:rsidRDefault="00CE2397" w:rsidP="0092212F">
      <w:pPr>
        <w:pStyle w:val="NormalWeb"/>
        <w:tabs>
          <w:tab w:val="left" w:leader="dot" w:pos="8364"/>
        </w:tabs>
        <w:spacing w:before="0" w:beforeAutospacing="0" w:after="0" w:afterAutospacing="0" w:line="480" w:lineRule="auto"/>
      </w:pPr>
      <w:r w:rsidRPr="00F340A6">
        <w:rPr>
          <w:rStyle w:val="Strong"/>
        </w:rPr>
        <w:t>Bibliography</w:t>
      </w:r>
      <w:r w:rsidR="00135FCB">
        <w:tab/>
        <w:t>59</w:t>
      </w:r>
    </w:p>
    <w:p w14:paraId="74FBF989" w14:textId="77777777" w:rsidR="00876ED9" w:rsidRDefault="00876ED9" w:rsidP="00876ED9">
      <w:pPr>
        <w:rPr>
          <w:rFonts w:ascii="Times New Roman" w:hAnsi="Times New Roman" w:cs="Times New Roman"/>
          <w:sz w:val="24"/>
          <w:szCs w:val="24"/>
        </w:rPr>
      </w:pPr>
    </w:p>
    <w:p w14:paraId="53487F18" w14:textId="77777777" w:rsidR="00876ED9" w:rsidRDefault="00876ED9" w:rsidP="00876ED9">
      <w:pPr>
        <w:jc w:val="center"/>
        <w:rPr>
          <w:rFonts w:ascii="Times New Roman" w:hAnsi="Times New Roman" w:cs="Times New Roman"/>
          <w:b/>
          <w:bCs/>
          <w:color w:val="000000"/>
          <w:sz w:val="24"/>
          <w:szCs w:val="24"/>
          <w:lang w:bidi="he-IL"/>
        </w:rPr>
        <w:sectPr w:rsidR="00876ED9" w:rsidSect="00571A2C">
          <w:headerReference w:type="default" r:id="rId13"/>
          <w:pgSz w:w="12240" w:h="15840"/>
          <w:pgMar w:top="1440" w:right="1800" w:bottom="1440" w:left="1800" w:header="720" w:footer="720" w:gutter="0"/>
          <w:pgNumType w:fmt="lowerRoman" w:start="1"/>
          <w:cols w:space="720"/>
          <w:docGrid w:linePitch="360"/>
        </w:sectPr>
      </w:pPr>
    </w:p>
    <w:p w14:paraId="291A8465" w14:textId="196C90CE" w:rsidR="00CE42D7" w:rsidRPr="00876ED9" w:rsidRDefault="00CE42D7" w:rsidP="00876ED9">
      <w:pPr>
        <w:jc w:val="center"/>
        <w:rPr>
          <w:rFonts w:ascii="Times New Roman" w:hAnsi="Times New Roman" w:cs="Times New Roman"/>
          <w:sz w:val="24"/>
          <w:szCs w:val="24"/>
        </w:rPr>
      </w:pPr>
      <w:r w:rsidRPr="00F340A6">
        <w:rPr>
          <w:rFonts w:ascii="Times New Roman" w:hAnsi="Times New Roman" w:cs="Times New Roman"/>
          <w:b/>
          <w:bCs/>
          <w:color w:val="000000"/>
          <w:sz w:val="24"/>
          <w:szCs w:val="24"/>
          <w:lang w:bidi="he-IL"/>
        </w:rPr>
        <w:lastRenderedPageBreak/>
        <w:t>Introduction</w:t>
      </w:r>
    </w:p>
    <w:p w14:paraId="7DD9C552" w14:textId="77777777" w:rsidR="0044269F" w:rsidRPr="00F340A6" w:rsidRDefault="0044269F" w:rsidP="0044269F">
      <w:pPr>
        <w:autoSpaceDE w:val="0"/>
        <w:autoSpaceDN w:val="0"/>
        <w:adjustRightInd w:val="0"/>
        <w:spacing w:after="0" w:line="240" w:lineRule="auto"/>
        <w:rPr>
          <w:rFonts w:ascii="Times New Roman" w:hAnsi="Times New Roman" w:cs="Times New Roman"/>
          <w:b/>
          <w:bCs/>
          <w:color w:val="000000"/>
          <w:sz w:val="24"/>
          <w:szCs w:val="24"/>
          <w:lang w:bidi="he-IL"/>
        </w:rPr>
      </w:pPr>
    </w:p>
    <w:p w14:paraId="7955CCF0"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Philippians 2:1–11 stands out as one of the richest and most impactful Christological passages in the New Testament. Written to Paul’s beloved church at Philippi, the believers there were wrestling with concerns of honor, unity, suffering, shame, and Roman cultural pressures in light of their Christian identity. Paul understood both the cultural expectations and the internal tensions that threatened the local church’s survival, and therefore he calls them to live in a manner worthy of Christ yet countercultural to the Roman world. Paul exhorted them that such a worthy life is one expressed through Christlike unity and humility toward one another.</w:t>
      </w:r>
    </w:p>
    <w:p w14:paraId="6BA40081"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Yet Paul’s exhortation was not simple moralism intended to plaster over a few unsightly rough spots in their appearance. Instead, he roots Christian unity in the very nature of the Lord Jesus Christ, which believers may only experience through Gospel transformation and by having the mind of Christ. The ethical summons of 2:1–4 flows directly into the Christological revelation of 2:5–11, where Christ’s preexistence, voluntary humility, incarnation, obedience unto death, and subsequent exaltation are put forward as the only pattern and standard for the Christian life. The passage therefore provided both practical application and profound hope for believers facing shame and hostility from their Roman counterparts. Paul demonstrates that the Gospel not only redeems believers but also transforms and shapes their relationships within the local congregation.</w:t>
      </w:r>
    </w:p>
    <w:p w14:paraId="0DB455AB"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 xml:space="preserve">This study will argue that Philippians 2:1–11 teaches that Christian unity can only be realized when believers within the local church context embrace the Gospel-shaped humility modeled by Christ, whose eternal divine nature, perfect obedience, and </w:t>
      </w:r>
      <w:r w:rsidRPr="00F340A6">
        <w:rPr>
          <w:rFonts w:ascii="Times New Roman" w:hAnsi="Times New Roman" w:cs="Times New Roman"/>
          <w:color w:val="000000"/>
          <w:sz w:val="24"/>
          <w:szCs w:val="24"/>
          <w:lang w:bidi="he-IL"/>
        </w:rPr>
        <w:lastRenderedPageBreak/>
        <w:t>voluntary self-emptying reveal the true character of God. Paul grounds his exhortation to unity in this Christological pattern, presenting Christ’s humiliation and exaltation as both the foundation for Christian conduct and the believer’s future hope in glory.</w:t>
      </w:r>
    </w:p>
    <w:p w14:paraId="5A473DE3"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To demonstrate this thesis, the paper will proceed through a detailed exegetical analysis of the passage, paying special attention to significant syntactical features where debates and secondary interpretive choices are present. The study will also consider important theological issues such as the meaning of Christ’s self-emptying, the nature of His equality with God, and the relationship between His humiliation and exaltation. Allusions to the Old Testament will be shown to be essential for understanding Paul’s defense of Christ’s identity as Jehovah.</w:t>
      </w:r>
    </w:p>
    <w:p w14:paraId="4CBA6FD0" w14:textId="259E37C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This paper aims to show how Paul’s Christological vision shapes the daily life, unity, and mission of the local church as it survives in hostile environments. The passage not only reveals who Christ is but also defines who believers must be, and Paul exhorts them to “Let this mind be in you, which was also in Christ Jesus” (KJV</w:t>
      </w:r>
      <w:r w:rsidR="00A87FCE">
        <w:rPr>
          <w:rFonts w:ascii="Times New Roman" w:hAnsi="Times New Roman" w:cs="Times New Roman"/>
          <w:color w:val="000000"/>
          <w:sz w:val="24"/>
          <w:szCs w:val="24"/>
          <w:lang w:bidi="he-IL"/>
        </w:rPr>
        <w:t>).</w:t>
      </w:r>
    </w:p>
    <w:p w14:paraId="7A1E1337" w14:textId="37A1E847" w:rsidR="00CE42D7" w:rsidRPr="00F340A6" w:rsidRDefault="00CE42D7" w:rsidP="001E0AFE">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F340A6">
        <w:rPr>
          <w:rFonts w:ascii="Times New Roman" w:hAnsi="Times New Roman" w:cs="Times New Roman"/>
          <w:b/>
          <w:bCs/>
          <w:color w:val="000000"/>
          <w:sz w:val="24"/>
          <w:szCs w:val="24"/>
          <w:lang w:bidi="he-IL"/>
        </w:rPr>
        <w:t>Historical Background</w:t>
      </w:r>
    </w:p>
    <w:p w14:paraId="6ED41871" w14:textId="2677B4F0" w:rsidR="00CE42D7" w:rsidRPr="001E0AFE" w:rsidRDefault="00CE42D7" w:rsidP="001E0AFE">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1E0AFE">
        <w:rPr>
          <w:rFonts w:ascii="Times New Roman" w:hAnsi="Times New Roman" w:cs="Times New Roman"/>
          <w:color w:val="0D0D14"/>
          <w:sz w:val="24"/>
          <w:szCs w:val="24"/>
          <w:lang w:bidi="he-IL"/>
        </w:rPr>
        <w:t>Authorship</w:t>
      </w:r>
    </w:p>
    <w:p w14:paraId="59BAA3CE" w14:textId="660F020D"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letter to the Philippians was written by the church’s founder, Paul,</w:t>
      </w:r>
      <w:r w:rsidR="004B7B91" w:rsidRPr="00F340A6">
        <w:rPr>
          <w:rStyle w:val="FootnoteReference"/>
          <w:rFonts w:ascii="Times New Roman" w:hAnsi="Times New Roman" w:cs="Times New Roman"/>
          <w:color w:val="0D0D14"/>
          <w:sz w:val="24"/>
          <w:szCs w:val="24"/>
          <w:lang w:bidi="he-IL"/>
        </w:rPr>
        <w:footnoteReference w:id="1"/>
      </w:r>
      <w:r w:rsidRPr="00F340A6">
        <w:rPr>
          <w:rFonts w:ascii="Times New Roman" w:hAnsi="Times New Roman" w:cs="Times New Roman"/>
          <w:color w:val="0D0D14"/>
          <w:sz w:val="24"/>
          <w:szCs w:val="24"/>
          <w:lang w:bidi="he-IL"/>
        </w:rPr>
        <w:t xml:space="preserve"> except perhaps for the Christ hymn (2:6–11).</w:t>
      </w:r>
      <w:r w:rsidR="00F340A6" w:rsidRPr="00F340A6">
        <w:rPr>
          <w:rStyle w:val="FootnoteReference"/>
          <w:rFonts w:ascii="Times New Roman" w:hAnsi="Times New Roman" w:cs="Times New Roman"/>
          <w:color w:val="0D0D14"/>
          <w:sz w:val="24"/>
          <w:szCs w:val="24"/>
          <w:lang w:bidi="he-IL"/>
        </w:rPr>
        <w:footnoteReference w:id="2"/>
      </w:r>
      <w:r w:rsidR="00484709">
        <w:rPr>
          <w:rFonts w:ascii="Times New Roman" w:hAnsi="Times New Roman" w:cs="Times New Roman"/>
          <w:color w:val="0D0D14"/>
          <w:sz w:val="24"/>
          <w:szCs w:val="24"/>
          <w:lang w:bidi="he-IL"/>
        </w:rPr>
        <w:t xml:space="preserve"> There is little challenge to Paul’s authorship of the letter. </w:t>
      </w:r>
    </w:p>
    <w:p w14:paraId="70D3ADD6" w14:textId="77777777" w:rsidR="001E0AFE" w:rsidRDefault="001E0AFE" w:rsidP="001E0AFE">
      <w:pPr>
        <w:autoSpaceDE w:val="0"/>
        <w:autoSpaceDN w:val="0"/>
        <w:adjustRightInd w:val="0"/>
        <w:spacing w:after="0" w:line="480" w:lineRule="auto"/>
        <w:jc w:val="center"/>
        <w:rPr>
          <w:rFonts w:ascii="Times New Roman" w:hAnsi="Times New Roman" w:cs="Times New Roman"/>
          <w:color w:val="0D0D14"/>
          <w:sz w:val="24"/>
          <w:szCs w:val="24"/>
          <w:lang w:bidi="he-IL"/>
        </w:rPr>
      </w:pPr>
    </w:p>
    <w:p w14:paraId="682B004F" w14:textId="03C0EF25" w:rsidR="00CE42D7" w:rsidRPr="001E0AFE" w:rsidRDefault="00CE42D7" w:rsidP="001E0AFE">
      <w:pPr>
        <w:autoSpaceDE w:val="0"/>
        <w:autoSpaceDN w:val="0"/>
        <w:adjustRightInd w:val="0"/>
        <w:spacing w:after="0" w:line="480" w:lineRule="auto"/>
        <w:jc w:val="center"/>
        <w:rPr>
          <w:rFonts w:ascii="Times New Roman" w:hAnsi="Times New Roman" w:cs="Times New Roman"/>
          <w:color w:val="0D0D14"/>
          <w:sz w:val="24"/>
          <w:szCs w:val="24"/>
          <w:lang w:bidi="he-IL"/>
        </w:rPr>
      </w:pPr>
      <w:r w:rsidRPr="001E0AFE">
        <w:rPr>
          <w:rFonts w:ascii="Times New Roman" w:hAnsi="Times New Roman" w:cs="Times New Roman"/>
          <w:color w:val="0D0D14"/>
          <w:sz w:val="24"/>
          <w:szCs w:val="24"/>
          <w:lang w:bidi="he-IL"/>
        </w:rPr>
        <w:t>Date</w:t>
      </w:r>
    </w:p>
    <w:p w14:paraId="26A0486F" w14:textId="49195CA0" w:rsidR="00CE42D7" w:rsidRPr="00F340A6" w:rsidRDefault="00CE42D7" w:rsidP="001E0AFE">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Most scholars place the writing during Paul’s imprisonment in Rome in the early 60s.</w:t>
      </w:r>
      <w:r w:rsidR="00F340A6">
        <w:rPr>
          <w:rStyle w:val="FootnoteReference"/>
          <w:rFonts w:ascii="Times New Roman" w:hAnsi="Times New Roman" w:cs="Times New Roman"/>
          <w:color w:val="0D0D14"/>
          <w:sz w:val="24"/>
          <w:szCs w:val="24"/>
          <w:lang w:bidi="he-IL"/>
        </w:rPr>
        <w:footnoteReference w:id="3"/>
      </w:r>
      <w:r w:rsidRPr="00F340A6">
        <w:rPr>
          <w:rFonts w:ascii="Times New Roman" w:hAnsi="Times New Roman" w:cs="Times New Roman"/>
          <w:color w:val="0D0D14"/>
          <w:sz w:val="24"/>
          <w:szCs w:val="24"/>
          <w:lang w:bidi="he-IL"/>
        </w:rPr>
        <w:t xml:space="preserve"> Fee observes that the internal evidence of the letter situates it closest to A.D. 62, at the end of Paul’s imprisonment.</w:t>
      </w:r>
      <w:r w:rsidR="00F340A6">
        <w:rPr>
          <w:rStyle w:val="FootnoteReference"/>
          <w:rFonts w:ascii="Times New Roman" w:hAnsi="Times New Roman" w:cs="Times New Roman"/>
          <w:color w:val="0D0D14"/>
          <w:sz w:val="24"/>
          <w:szCs w:val="24"/>
          <w:lang w:bidi="he-IL"/>
        </w:rPr>
        <w:footnoteReference w:id="4"/>
      </w:r>
      <w:r w:rsidRPr="00F340A6">
        <w:rPr>
          <w:rFonts w:ascii="Times New Roman" w:hAnsi="Times New Roman" w:cs="Times New Roman"/>
          <w:color w:val="0D0D14"/>
          <w:sz w:val="24"/>
          <w:szCs w:val="24"/>
          <w:lang w:bidi="he-IL"/>
        </w:rPr>
        <w:t xml:space="preserve"> Some scholars argue for an earlier date, proposing that Paul wrote from Ephesus in the mid-50s.</w:t>
      </w:r>
      <w:r w:rsidR="00F340A6">
        <w:rPr>
          <w:rStyle w:val="FootnoteReference"/>
          <w:rFonts w:ascii="Times New Roman" w:hAnsi="Times New Roman" w:cs="Times New Roman"/>
          <w:color w:val="0D0D14"/>
          <w:sz w:val="24"/>
          <w:szCs w:val="24"/>
          <w:lang w:bidi="he-IL"/>
        </w:rPr>
        <w:footnoteReference w:id="5"/>
      </w:r>
      <w:r w:rsidRPr="00F340A6">
        <w:rPr>
          <w:rFonts w:ascii="Times New Roman" w:hAnsi="Times New Roman" w:cs="Times New Roman"/>
          <w:color w:val="0D0D14"/>
          <w:sz w:val="24"/>
          <w:szCs w:val="24"/>
          <w:lang w:bidi="he-IL"/>
        </w:rPr>
        <w:t xml:space="preserve"> Yet as Hellerman points out such evidence is insufficient to overturn the traditional Roman imprisonment view, noting the letter’s references to the praetorian guard (1:13) and to “Caesar’s household” (4:22).</w:t>
      </w:r>
      <w:r w:rsidR="00F340A6">
        <w:rPr>
          <w:rStyle w:val="FootnoteReference"/>
          <w:rFonts w:ascii="Times New Roman" w:hAnsi="Times New Roman" w:cs="Times New Roman"/>
          <w:color w:val="0D0D14"/>
          <w:sz w:val="24"/>
          <w:szCs w:val="24"/>
          <w:lang w:bidi="he-IL"/>
        </w:rPr>
        <w:footnoteReference w:id="6"/>
      </w:r>
      <w:r w:rsidRPr="00F340A6">
        <w:rPr>
          <w:rFonts w:ascii="Times New Roman" w:hAnsi="Times New Roman" w:cs="Times New Roman"/>
          <w:color w:val="0D0D14"/>
          <w:sz w:val="24"/>
          <w:szCs w:val="24"/>
          <w:lang w:bidi="he-IL"/>
        </w:rPr>
        <w:t xml:space="preserve"> Fee further observes that there was no Praetorium in Ephesus.</w:t>
      </w:r>
      <w:r w:rsidR="00F340A6">
        <w:rPr>
          <w:rStyle w:val="FootnoteReference"/>
          <w:rFonts w:ascii="Times New Roman" w:hAnsi="Times New Roman" w:cs="Times New Roman"/>
          <w:color w:val="0D0D14"/>
          <w:sz w:val="24"/>
          <w:szCs w:val="24"/>
          <w:lang w:bidi="he-IL"/>
        </w:rPr>
        <w:footnoteReference w:id="7"/>
      </w:r>
      <w:r w:rsidRPr="00F340A6">
        <w:rPr>
          <w:rFonts w:ascii="Times New Roman" w:hAnsi="Times New Roman" w:cs="Times New Roman"/>
          <w:color w:val="0D0D14"/>
          <w:sz w:val="24"/>
          <w:szCs w:val="24"/>
          <w:lang w:bidi="he-IL"/>
        </w:rPr>
        <w:t xml:space="preserve"> This paper will therefore proceed on the assumption that Paul was in Rome in the early 60s when he wrote the letter.</w:t>
      </w:r>
    </w:p>
    <w:p w14:paraId="6E079EFE" w14:textId="59B9B8A1" w:rsidR="00CE42D7" w:rsidRPr="001E0AFE" w:rsidRDefault="00CE42D7" w:rsidP="001E0AFE">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1E0AFE">
        <w:rPr>
          <w:rFonts w:ascii="Times New Roman" w:hAnsi="Times New Roman" w:cs="Times New Roman"/>
          <w:color w:val="0D0D14"/>
          <w:sz w:val="24"/>
          <w:szCs w:val="24"/>
          <w:lang w:bidi="he-IL"/>
        </w:rPr>
        <w:t>Audience</w:t>
      </w:r>
    </w:p>
    <w:p w14:paraId="7262E978" w14:textId="20322E3B" w:rsidR="00CE42D7" w:rsidRPr="00F340A6" w:rsidRDefault="00CE42D7" w:rsidP="001E0AFE">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Acts 16:11–40 provides valuable background on the church’s founding, the recipients, and the author’s relationship with them. According to Luke’s account, the founding members of the church were “God-fearing women,” who continued to influence the congregation up to the time of the letter’s writing. Philippi's demographics of Roman veterans, freedmen, with a small Jewish presence, probably explain why the church's first converts were women. Paul and his companions stayed with Lydia while they labored in Philippi. Though the Letter to the Philippians does not name Lydia, it does name two </w:t>
      </w:r>
      <w:r w:rsidRPr="00F340A6">
        <w:rPr>
          <w:rFonts w:ascii="Times New Roman" w:hAnsi="Times New Roman" w:cs="Times New Roman"/>
          <w:color w:val="0D0D14"/>
          <w:sz w:val="24"/>
          <w:szCs w:val="24"/>
          <w:lang w:bidi="he-IL"/>
        </w:rPr>
        <w:lastRenderedPageBreak/>
        <w:t>women, Euodia and Syntyche, and exhorts them to unity (4:2–3). The duration of Paul’s stay in Philippi is not precisely known, but readers can infer that it was long enough to establish a close friendship between the author and his audience.</w:t>
      </w:r>
      <w:r w:rsidR="00F340A6">
        <w:rPr>
          <w:rStyle w:val="FootnoteReference"/>
          <w:rFonts w:ascii="Times New Roman" w:hAnsi="Times New Roman" w:cs="Times New Roman"/>
          <w:color w:val="0D0D14"/>
          <w:sz w:val="24"/>
          <w:szCs w:val="24"/>
          <w:lang w:bidi="he-IL"/>
        </w:rPr>
        <w:footnoteReference w:id="8"/>
      </w:r>
      <w:r w:rsidRPr="00F340A6">
        <w:rPr>
          <w:rFonts w:ascii="Times New Roman" w:hAnsi="Times New Roman" w:cs="Times New Roman"/>
          <w:color w:val="0D0D14"/>
          <w:sz w:val="24"/>
          <w:szCs w:val="24"/>
          <w:lang w:bidi="he-IL"/>
        </w:rPr>
        <w:t xml:space="preserve"> Throughout the letter, Paul’s affection for them is evident, and elsewhere he speaks highly of their testimony (2 Cor. 8:1–5).</w:t>
      </w:r>
    </w:p>
    <w:p w14:paraId="57A3824D" w14:textId="1487D281" w:rsidR="00CE42D7" w:rsidRPr="00F340A6" w:rsidRDefault="00CE42D7" w:rsidP="001E0AFE">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1E0AFE">
        <w:rPr>
          <w:rFonts w:ascii="Times New Roman" w:hAnsi="Times New Roman" w:cs="Times New Roman"/>
          <w:color w:val="0D0D14"/>
          <w:sz w:val="24"/>
          <w:szCs w:val="24"/>
          <w:lang w:bidi="he-IL"/>
        </w:rPr>
        <w:t>Occasion</w:t>
      </w:r>
    </w:p>
    <w:p w14:paraId="36CA986B" w14:textId="5C57B71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Acts records that Paul’s eventual departure from Philippi was due to the conflict that arose after he cast out a demon from a slave girl. Though God used the situation to bless them with converts and to demonstrate His power, opposition from city officials began at the church’s inception.</w:t>
      </w:r>
      <w:r w:rsidR="00F340A6">
        <w:rPr>
          <w:rStyle w:val="FootnoteReference"/>
          <w:rFonts w:ascii="Times New Roman" w:hAnsi="Times New Roman" w:cs="Times New Roman"/>
          <w:color w:val="0D0D14"/>
          <w:sz w:val="24"/>
          <w:szCs w:val="24"/>
          <w:lang w:bidi="he-IL"/>
        </w:rPr>
        <w:footnoteReference w:id="9"/>
      </w:r>
      <w:r w:rsidRPr="00F340A6">
        <w:rPr>
          <w:rFonts w:ascii="Times New Roman" w:hAnsi="Times New Roman" w:cs="Times New Roman"/>
          <w:color w:val="0D0D14"/>
          <w:sz w:val="24"/>
          <w:szCs w:val="24"/>
          <w:lang w:bidi="he-IL"/>
        </w:rPr>
        <w:t xml:space="preserve"> Paul’s letter directly mentions the opposition the Philippian believers faced (1:27–30), exhorting them to stand firm without fear.</w:t>
      </w:r>
      <w:r w:rsidR="00F340A6">
        <w:rPr>
          <w:rStyle w:val="FootnoteReference"/>
          <w:rFonts w:ascii="Times New Roman" w:hAnsi="Times New Roman" w:cs="Times New Roman"/>
          <w:color w:val="0D0D14"/>
          <w:sz w:val="24"/>
          <w:szCs w:val="24"/>
          <w:lang w:bidi="he-IL"/>
        </w:rPr>
        <w:footnoteReference w:id="10"/>
      </w:r>
      <w:r w:rsidRPr="00F340A6">
        <w:rPr>
          <w:rFonts w:ascii="Times New Roman" w:hAnsi="Times New Roman" w:cs="Times New Roman"/>
          <w:color w:val="0D0D14"/>
          <w:sz w:val="24"/>
          <w:szCs w:val="24"/>
          <w:lang w:bidi="he-IL"/>
        </w:rPr>
        <w:t xml:space="preserve"> Conflict followed Paul to the point of his arrest and imprisonment. He writes to reinterpret these events through a Christlike mindset: rather than a hindrance to the gospel, his imprisonment had become a platform for its advance (1:12). This initial reason for the letter introduces a second: to teach the Philippians how to face persecution faithfully.</w:t>
      </w:r>
      <w:r w:rsidR="00F340A6">
        <w:rPr>
          <w:rStyle w:val="FootnoteReference"/>
          <w:rFonts w:ascii="Times New Roman" w:hAnsi="Times New Roman" w:cs="Times New Roman"/>
          <w:color w:val="0D0D14"/>
          <w:sz w:val="24"/>
          <w:szCs w:val="24"/>
          <w:lang w:bidi="he-IL"/>
        </w:rPr>
        <w:footnoteReference w:id="11"/>
      </w:r>
      <w:r w:rsidRPr="00F340A6">
        <w:rPr>
          <w:rFonts w:ascii="Times New Roman" w:hAnsi="Times New Roman" w:cs="Times New Roman"/>
          <w:color w:val="0D0D14"/>
          <w:sz w:val="24"/>
          <w:szCs w:val="24"/>
          <w:lang w:bidi="he-IL"/>
        </w:rPr>
        <w:t xml:space="preserve"> Because of the opposition they faced and Paul’s deep affection for them, he writes primarily to exhort them to unity in Christ: “Let this mind be in you, which was also in Christ Jesus” (2:5).</w:t>
      </w:r>
      <w:r w:rsidR="00F340A6">
        <w:rPr>
          <w:rStyle w:val="FootnoteReference"/>
          <w:rFonts w:ascii="Times New Roman" w:hAnsi="Times New Roman" w:cs="Times New Roman"/>
          <w:color w:val="0D0D14"/>
          <w:sz w:val="24"/>
          <w:szCs w:val="24"/>
          <w:lang w:bidi="he-IL"/>
        </w:rPr>
        <w:footnoteReference w:id="12"/>
      </w:r>
    </w:p>
    <w:p w14:paraId="3BCF3D0F" w14:textId="5688017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Finally, Philippians 2:1–4 and 4:2–3 give evidence of the internal strife that threatened the church’s stability. Paul’s calls to unity in Christ thus address both external persecution and internal division (2:5–11).</w:t>
      </w:r>
      <w:r w:rsidR="00F340A6">
        <w:rPr>
          <w:rStyle w:val="FootnoteReference"/>
          <w:rFonts w:ascii="Times New Roman" w:hAnsi="Times New Roman" w:cs="Times New Roman"/>
          <w:color w:val="0D0D14"/>
          <w:sz w:val="24"/>
          <w:szCs w:val="24"/>
          <w:lang w:bidi="he-IL"/>
        </w:rPr>
        <w:footnoteReference w:id="13"/>
      </w:r>
    </w:p>
    <w:p w14:paraId="18664211" w14:textId="77777777" w:rsidR="00CE42D7" w:rsidRPr="001E0AFE" w:rsidRDefault="00CE42D7" w:rsidP="001A51D5">
      <w:pPr>
        <w:autoSpaceDE w:val="0"/>
        <w:autoSpaceDN w:val="0"/>
        <w:adjustRightInd w:val="0"/>
        <w:spacing w:before="360" w:after="0" w:line="480" w:lineRule="auto"/>
        <w:jc w:val="center"/>
        <w:rPr>
          <w:rFonts w:ascii="Times New Roman" w:hAnsi="Times New Roman" w:cs="Times New Roman"/>
          <w:b/>
          <w:bCs/>
          <w:color w:val="0D0D14"/>
          <w:sz w:val="24"/>
          <w:szCs w:val="24"/>
          <w:lang w:bidi="he-IL"/>
        </w:rPr>
      </w:pPr>
      <w:r w:rsidRPr="001E0AFE">
        <w:rPr>
          <w:rFonts w:ascii="Times New Roman" w:hAnsi="Times New Roman" w:cs="Times New Roman"/>
          <w:b/>
          <w:bCs/>
          <w:color w:val="0D0D14"/>
          <w:sz w:val="24"/>
          <w:szCs w:val="24"/>
          <w:lang w:bidi="he-IL"/>
        </w:rPr>
        <w:t>Cultural Background</w:t>
      </w:r>
    </w:p>
    <w:p w14:paraId="260142F2" w14:textId="4B9CC23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city of Philippi was remade in Caesar’s image following two major battles fought nearby in 42 B.C. The victor, Octavian (later Augustus), changed the city’s status to that of a Roman colony and populated it with veterans from the war. The general population also received Roman citizenship, tax exemption, and all the privileges of Roman status. This strategic move ensured that Philippi would remain indebted and loyal to Caesar.</w:t>
      </w:r>
      <w:r w:rsidR="00F340A6">
        <w:rPr>
          <w:rStyle w:val="FootnoteReference"/>
          <w:rFonts w:ascii="Times New Roman" w:hAnsi="Times New Roman" w:cs="Times New Roman"/>
          <w:color w:val="0D0D14"/>
          <w:sz w:val="24"/>
          <w:szCs w:val="24"/>
          <w:lang w:bidi="he-IL"/>
        </w:rPr>
        <w:footnoteReference w:id="14"/>
      </w:r>
      <w:r w:rsidRPr="00F340A6">
        <w:rPr>
          <w:rFonts w:ascii="Times New Roman" w:hAnsi="Times New Roman" w:cs="Times New Roman"/>
          <w:color w:val="0D0D14"/>
          <w:sz w:val="24"/>
          <w:szCs w:val="24"/>
          <w:lang w:bidi="he-IL"/>
        </w:rPr>
        <w:t xml:space="preserve"> Philippi’s devotion to Caesar is reflected in their accusation against Paul: “They teach customs which are not lawful for us to receive or observe, being Romans” (Acts 16:21).</w:t>
      </w:r>
      <w:r w:rsidR="00F340A6">
        <w:rPr>
          <w:rStyle w:val="FootnoteReference"/>
          <w:rFonts w:ascii="Times New Roman" w:hAnsi="Times New Roman" w:cs="Times New Roman"/>
          <w:color w:val="0D0D14"/>
          <w:sz w:val="24"/>
          <w:szCs w:val="24"/>
          <w:lang w:bidi="he-IL"/>
        </w:rPr>
        <w:footnoteReference w:id="15"/>
      </w:r>
    </w:p>
    <w:p w14:paraId="1971FD4E" w14:textId="46907845" w:rsidR="00CE42D7" w:rsidRPr="001A51D5" w:rsidRDefault="00CE42D7" w:rsidP="001A51D5">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1A51D5">
        <w:rPr>
          <w:rFonts w:ascii="Times New Roman" w:hAnsi="Times New Roman" w:cs="Times New Roman"/>
          <w:color w:val="0D0D14"/>
          <w:sz w:val="24"/>
          <w:szCs w:val="24"/>
          <w:lang w:bidi="he-IL"/>
        </w:rPr>
        <w:t>Honor and Shame</w:t>
      </w:r>
    </w:p>
    <w:p w14:paraId="7AD9AD00" w14:textId="28629F2B"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Romans brought with them a strong sense of national honor, which Philippi inherited as a colony.</w:t>
      </w:r>
      <w:r w:rsidR="00F340A6">
        <w:rPr>
          <w:rStyle w:val="FootnoteReference"/>
          <w:rFonts w:ascii="Times New Roman" w:hAnsi="Times New Roman" w:cs="Times New Roman"/>
          <w:color w:val="0D0D14"/>
          <w:sz w:val="24"/>
          <w:szCs w:val="24"/>
          <w:lang w:bidi="he-IL"/>
        </w:rPr>
        <w:footnoteReference w:id="16"/>
      </w:r>
      <w:r w:rsidRPr="00F340A6">
        <w:rPr>
          <w:rFonts w:ascii="Times New Roman" w:hAnsi="Times New Roman" w:cs="Times New Roman"/>
          <w:color w:val="0D0D14"/>
          <w:sz w:val="24"/>
          <w:szCs w:val="24"/>
          <w:lang w:bidi="he-IL"/>
        </w:rPr>
        <w:t xml:space="preserve"> Epigraphical evidence reveals how Philippians publicly displayed their honor status: elites would dedicate buildings or fund monuments to receive public recognition and enhance their social standing. Soldiers recorded their decorated military </w:t>
      </w:r>
      <w:r w:rsidRPr="00F340A6">
        <w:rPr>
          <w:rFonts w:ascii="Times New Roman" w:hAnsi="Times New Roman" w:cs="Times New Roman"/>
          <w:color w:val="0D0D14"/>
          <w:sz w:val="24"/>
          <w:szCs w:val="24"/>
          <w:lang w:bidi="he-IL"/>
        </w:rPr>
        <w:lastRenderedPageBreak/>
        <w:t>careers on inscriptions that detailed how the emperor had honored their gallantry.</w:t>
      </w:r>
      <w:r w:rsidR="00F340A6">
        <w:rPr>
          <w:rStyle w:val="FootnoteReference"/>
          <w:rFonts w:ascii="Times New Roman" w:hAnsi="Times New Roman" w:cs="Times New Roman"/>
          <w:color w:val="0D0D14"/>
          <w:sz w:val="24"/>
          <w:szCs w:val="24"/>
          <w:lang w:bidi="he-IL"/>
        </w:rPr>
        <w:footnoteReference w:id="17"/>
      </w:r>
      <w:r w:rsidRPr="00F340A6">
        <w:rPr>
          <w:rFonts w:ascii="Times New Roman" w:hAnsi="Times New Roman" w:cs="Times New Roman"/>
          <w:color w:val="0D0D14"/>
          <w:sz w:val="24"/>
          <w:szCs w:val="24"/>
          <w:lang w:bidi="he-IL"/>
        </w:rPr>
        <w:t xml:space="preserve"> This culture of boasting formed the backdrop for Paul’s redefinition of honor and shame (1:20).</w:t>
      </w:r>
      <w:r w:rsidR="00F340A6">
        <w:rPr>
          <w:rStyle w:val="FootnoteReference"/>
          <w:rFonts w:ascii="Times New Roman" w:hAnsi="Times New Roman" w:cs="Times New Roman"/>
          <w:color w:val="0D0D14"/>
          <w:sz w:val="24"/>
          <w:szCs w:val="24"/>
          <w:lang w:bidi="he-IL"/>
        </w:rPr>
        <w:footnoteReference w:id="18"/>
      </w:r>
    </w:p>
    <w:p w14:paraId="0BCEE2CC" w14:textId="77777777" w:rsidR="00CE42D7" w:rsidRPr="00F340A6" w:rsidRDefault="00CE42D7" w:rsidP="001A51D5">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Literary Context</w:t>
      </w:r>
    </w:p>
    <w:p w14:paraId="1ADF6116" w14:textId="77777777" w:rsidR="00CE42D7" w:rsidRPr="001A49EF" w:rsidRDefault="00CE42D7" w:rsidP="001A49EF">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1A49EF">
        <w:rPr>
          <w:rFonts w:ascii="Times New Roman" w:hAnsi="Times New Roman" w:cs="Times New Roman"/>
          <w:color w:val="0D0D14"/>
          <w:sz w:val="24"/>
          <w:szCs w:val="24"/>
          <w:lang w:bidi="he-IL"/>
        </w:rPr>
        <w:t>Outline of the Book of Philippians</w:t>
      </w:r>
    </w:p>
    <w:p w14:paraId="069C4C95"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1A49EF">
        <w:rPr>
          <w:rFonts w:ascii="Times New Roman" w:hAnsi="Times New Roman" w:cs="Times New Roman"/>
          <w:color w:val="0D0D14"/>
          <w:sz w:val="24"/>
          <w:szCs w:val="24"/>
          <w:lang w:bidi="he-IL"/>
        </w:rPr>
        <w:t>I</w:t>
      </w:r>
      <w:r w:rsidRPr="00A87FCE">
        <w:rPr>
          <w:rFonts w:ascii="Times New Roman" w:hAnsi="Times New Roman" w:cs="Times New Roman"/>
          <w:color w:val="0D0D14"/>
          <w:sz w:val="24"/>
          <w:szCs w:val="24"/>
          <w:lang w:bidi="he-IL"/>
        </w:rPr>
        <w:t>. Opening and Thanksgiving (1:1–11)</w:t>
      </w:r>
    </w:p>
    <w:p w14:paraId="35329D76" w14:textId="77777777" w:rsidR="00CE42D7" w:rsidRPr="00A87FCE" w:rsidRDefault="00CE42D7">
      <w:pPr>
        <w:numPr>
          <w:ilvl w:val="0"/>
          <w:numId w:val="7"/>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Salutation (1:1–2)</w:t>
      </w:r>
    </w:p>
    <w:p w14:paraId="71CF8D95" w14:textId="77777777" w:rsidR="00CE42D7" w:rsidRPr="00A87FCE" w:rsidRDefault="00CE42D7">
      <w:pPr>
        <w:pStyle w:val="ListParagraph"/>
        <w:numPr>
          <w:ilvl w:val="0"/>
          <w:numId w:val="1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 and Timothy identified as servants of Christ Jesus.</w:t>
      </w:r>
    </w:p>
    <w:p w14:paraId="4277858A" w14:textId="77777777" w:rsidR="00CE42D7" w:rsidRPr="00A87FCE" w:rsidRDefault="00CE42D7">
      <w:pPr>
        <w:pStyle w:val="ListParagraph"/>
        <w:numPr>
          <w:ilvl w:val="0"/>
          <w:numId w:val="1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Address to all the saints in Philippi with the overseers and deacons.</w:t>
      </w:r>
    </w:p>
    <w:p w14:paraId="7E4AD512" w14:textId="77777777" w:rsidR="00CE42D7" w:rsidRPr="00A87FCE" w:rsidRDefault="00CE42D7">
      <w:pPr>
        <w:pStyle w:val="ListParagraph"/>
        <w:numPr>
          <w:ilvl w:val="0"/>
          <w:numId w:val="1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Blessing of grace and peace from God the Father and the Lord Jesus Christ.</w:t>
      </w:r>
    </w:p>
    <w:p w14:paraId="17DD20DB" w14:textId="77777777" w:rsidR="00CE42D7" w:rsidRPr="00A87FCE" w:rsidRDefault="00CE42D7">
      <w:pPr>
        <w:numPr>
          <w:ilvl w:val="0"/>
          <w:numId w:val="8"/>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Thanksgiving and Prayer (1:3–11)</w:t>
      </w:r>
    </w:p>
    <w:p w14:paraId="19423B11" w14:textId="57FB72A0" w:rsidR="00CE42D7" w:rsidRPr="00A87FCE" w:rsidRDefault="00CE42D7">
      <w:pPr>
        <w:pStyle w:val="ListParagraph"/>
        <w:numPr>
          <w:ilvl w:val="0"/>
          <w:numId w:val="18"/>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Thanksgiving for the Philippians’ partnership in the gospel (1:3–8).</w:t>
      </w:r>
    </w:p>
    <w:p w14:paraId="1CE0B5EC" w14:textId="77777777" w:rsidR="00CE42D7" w:rsidRPr="00A87FCE" w:rsidRDefault="00CE42D7">
      <w:pPr>
        <w:pStyle w:val="ListParagraph"/>
        <w:numPr>
          <w:ilvl w:val="0"/>
          <w:numId w:val="18"/>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Confidence that God will complete His work in them (1:6).</w:t>
      </w:r>
    </w:p>
    <w:p w14:paraId="73AFE1CB" w14:textId="77777777" w:rsidR="00CE42D7" w:rsidRPr="00A87FCE" w:rsidRDefault="00CE42D7">
      <w:pPr>
        <w:pStyle w:val="ListParagraph"/>
        <w:numPr>
          <w:ilvl w:val="0"/>
          <w:numId w:val="18"/>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Prayer for abounding love, discernment, and fruit of righteousness (1:9–11).</w:t>
      </w:r>
    </w:p>
    <w:p w14:paraId="3D761864"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II. Paul’s Circumstances and the Advance of the Gospel (1:12–26)</w:t>
      </w:r>
    </w:p>
    <w:p w14:paraId="76928087" w14:textId="77777777" w:rsidR="00CE42D7" w:rsidRPr="00A87FCE" w:rsidRDefault="00CE42D7">
      <w:pPr>
        <w:numPr>
          <w:ilvl w:val="0"/>
          <w:numId w:val="9"/>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The Gospel’s Progress Despite Imprisonment (1:12–18a)</w:t>
      </w:r>
    </w:p>
    <w:p w14:paraId="6D59B0D4" w14:textId="1D480BD6" w:rsidR="00CE42D7" w:rsidRPr="00A87FCE" w:rsidRDefault="00CE42D7">
      <w:pPr>
        <w:pStyle w:val="ListParagraph"/>
        <w:numPr>
          <w:ilvl w:val="0"/>
          <w:numId w:val="19"/>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Paul’s imprisonment serves the advance of the gospel.</w:t>
      </w:r>
    </w:p>
    <w:p w14:paraId="24E1A389" w14:textId="77777777" w:rsidR="00CE42D7" w:rsidRPr="00A87FCE" w:rsidRDefault="00CE42D7">
      <w:pPr>
        <w:pStyle w:val="ListParagraph"/>
        <w:numPr>
          <w:ilvl w:val="0"/>
          <w:numId w:val="19"/>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Christ is preached even through mixed motives.</w:t>
      </w:r>
    </w:p>
    <w:p w14:paraId="7F4B959C" w14:textId="77777777" w:rsidR="00CE42D7" w:rsidRPr="00A87FCE" w:rsidRDefault="00CE42D7">
      <w:pPr>
        <w:numPr>
          <w:ilvl w:val="0"/>
          <w:numId w:val="10"/>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Paul’s Joy and Expectation (1:18b–26)</w:t>
      </w:r>
    </w:p>
    <w:p w14:paraId="11B76F85" w14:textId="77777777" w:rsidR="00CE42D7" w:rsidRPr="00A87FCE" w:rsidRDefault="00CE42D7">
      <w:pPr>
        <w:pStyle w:val="ListParagraph"/>
        <w:numPr>
          <w:ilvl w:val="0"/>
          <w:numId w:val="20"/>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lastRenderedPageBreak/>
        <w:t>Christ will be magnified whether by life or death.</w:t>
      </w:r>
    </w:p>
    <w:p w14:paraId="453DFFBB" w14:textId="77777777" w:rsidR="00CE42D7" w:rsidRPr="00A87FCE" w:rsidRDefault="00CE42D7">
      <w:pPr>
        <w:pStyle w:val="ListParagraph"/>
        <w:numPr>
          <w:ilvl w:val="0"/>
          <w:numId w:val="20"/>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To live is Christ, and to die is gain.</w:t>
      </w:r>
    </w:p>
    <w:p w14:paraId="76888E89" w14:textId="77777777" w:rsidR="00CE42D7" w:rsidRPr="00A87FCE" w:rsidRDefault="00CE42D7">
      <w:pPr>
        <w:pStyle w:val="ListParagraph"/>
        <w:numPr>
          <w:ilvl w:val="0"/>
          <w:numId w:val="20"/>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Paul’s tension between departing to be with Christ and remaining for their progress and joy.</w:t>
      </w:r>
    </w:p>
    <w:p w14:paraId="6FD1034B"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III. Exhortation to Live Worthy of the Gospel (1:27–2:18)</w:t>
      </w:r>
    </w:p>
    <w:p w14:paraId="4078593E"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A. Unity and Humility as a Gospel Mandate (1:27–2:4)</w:t>
      </w:r>
    </w:p>
    <w:p w14:paraId="6404893F"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1:27–30 Standing Firm in Suffering</w:t>
      </w:r>
    </w:p>
    <w:p w14:paraId="1D121B0B" w14:textId="77777777" w:rsidR="00CE42D7" w:rsidRPr="00A87FCE" w:rsidRDefault="00CE42D7">
      <w:pPr>
        <w:pStyle w:val="ListParagraph"/>
        <w:numPr>
          <w:ilvl w:val="0"/>
          <w:numId w:val="21"/>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οὖν in 2:1 connects back to 1:27, reinforcing the call to a unified Gospel life.</w:t>
      </w:r>
    </w:p>
    <w:p w14:paraId="5AA430B6" w14:textId="77777777" w:rsidR="00CE42D7" w:rsidRPr="00A87FCE" w:rsidRDefault="00CE42D7">
      <w:pPr>
        <w:pStyle w:val="ListParagraph"/>
        <w:numPr>
          <w:ilvl w:val="0"/>
          <w:numId w:val="21"/>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Shared suffering (1:29–30) establishes the context for unity.</w:t>
      </w:r>
    </w:p>
    <w:p w14:paraId="67EDAD67"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2:1–4 The Foundations and Expression of Gospel Unity</w:t>
      </w:r>
    </w:p>
    <w:p w14:paraId="242228DA" w14:textId="5CDC2099" w:rsidR="00CE42D7" w:rsidRPr="00A87FCE" w:rsidRDefault="00CE42D7">
      <w:pPr>
        <w:pStyle w:val="ListParagraph"/>
        <w:numPr>
          <w:ilvl w:val="0"/>
          <w:numId w:val="22"/>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2:1  First-class conditional clauses: “</w:t>
      </w:r>
      <w:r w:rsidR="00A87FCE" w:rsidRPr="00A87FCE">
        <w:rPr>
          <w:rFonts w:ascii="Times New Roman" w:hAnsi="Times New Roman" w:cs="Times New Roman"/>
          <w:color w:val="0D0D14"/>
          <w:sz w:val="24"/>
          <w:szCs w:val="24"/>
          <w:lang w:bidi="he-IL"/>
        </w:rPr>
        <w:t>If there is any encouragement</w:t>
      </w:r>
      <w:r w:rsidRPr="00A87FCE">
        <w:rPr>
          <w:rFonts w:ascii="Times New Roman" w:hAnsi="Times New Roman" w:cs="Times New Roman"/>
          <w:color w:val="0D0D14"/>
          <w:sz w:val="24"/>
          <w:szCs w:val="24"/>
          <w:lang w:bidi="he-IL"/>
        </w:rPr>
        <w:t>…” Paul assumes these realities as the basis of unity.</w:t>
      </w:r>
    </w:p>
    <w:p w14:paraId="4D860444" w14:textId="63CAC34C" w:rsidR="00CE42D7" w:rsidRPr="00A87FCE" w:rsidRDefault="00CE42D7">
      <w:pPr>
        <w:pStyle w:val="ListParagraph"/>
        <w:numPr>
          <w:ilvl w:val="0"/>
          <w:numId w:val="22"/>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2:2  ἵνα clause epexegetical: defines the content of Paul’s joy, like-mindedness.</w:t>
      </w:r>
    </w:p>
    <w:p w14:paraId="295E9313" w14:textId="5AC8C8C3" w:rsidR="00CE42D7" w:rsidRPr="00A87FCE" w:rsidRDefault="00CE42D7">
      <w:pPr>
        <w:pStyle w:val="ListParagraph"/>
        <w:numPr>
          <w:ilvl w:val="0"/>
          <w:numId w:val="22"/>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2:3 Elliptical prohibition: verb supplied conceptually; humility contrasted with selfish ambition.</w:t>
      </w:r>
    </w:p>
    <w:p w14:paraId="2C3D08BC" w14:textId="03DB694C" w:rsidR="00CE42D7" w:rsidRPr="00A87FCE" w:rsidRDefault="00CE42D7">
      <w:pPr>
        <w:pStyle w:val="ListParagraph"/>
        <w:numPr>
          <w:ilvl w:val="0"/>
          <w:numId w:val="22"/>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2:4  σκοποῦντες as explanatory: the participle describes how humility is practiced, looking attentively to the needs of others.</w:t>
      </w:r>
    </w:p>
    <w:p w14:paraId="3C84DD0E"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B. The Christ Hymn: Humility Explained through Christ (2:5–11)</w:t>
      </w:r>
    </w:p>
    <w:p w14:paraId="502123DF"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2:5 The Transitional Command</w:t>
      </w:r>
    </w:p>
    <w:p w14:paraId="226A0E49" w14:textId="77777777" w:rsidR="00CE42D7" w:rsidRPr="00A87FCE" w:rsidRDefault="00CE42D7">
      <w:pPr>
        <w:pStyle w:val="ListParagraph"/>
        <w:numPr>
          <w:ilvl w:val="0"/>
          <w:numId w:val="23"/>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τοῦτο refers backward to vv. 1–4 while naturally transitioning to Christ’s example through ὃ καὶ ἐν Χριστῷ Ἰησοῦ.</w:t>
      </w:r>
    </w:p>
    <w:p w14:paraId="59B2CC0D" w14:textId="77777777" w:rsidR="00CE42D7" w:rsidRPr="00A87FCE" w:rsidRDefault="00CE42D7">
      <w:pPr>
        <w:pStyle w:val="ListParagraph"/>
        <w:numPr>
          <w:ilvl w:val="0"/>
          <w:numId w:val="23"/>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The mindset commanded is grounded in the realities already stated.</w:t>
      </w:r>
    </w:p>
    <w:p w14:paraId="3B4AFE24"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2:6–8 The Descent of Christ</w:t>
      </w:r>
    </w:p>
    <w:p w14:paraId="470488BD" w14:textId="77777777" w:rsidR="00CE42D7" w:rsidRPr="00A87FCE" w:rsidRDefault="00CE42D7">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lastRenderedPageBreak/>
        <w:t>ὑπάρχων concessive: “although existing in the form of God.”</w:t>
      </w:r>
    </w:p>
    <w:p w14:paraId="13FE9673" w14:textId="522ECA2F" w:rsidR="00CE42D7" w:rsidRPr="00A87FCE" w:rsidRDefault="00CE42D7">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 xml:space="preserve">ἁρπαγμός interpreted as </w:t>
      </w:r>
      <w:r w:rsidR="00A87FCE" w:rsidRPr="00A87FCE">
        <w:rPr>
          <w:rFonts w:ascii="Times New Roman" w:hAnsi="Times New Roman" w:cs="Times New Roman"/>
          <w:color w:val="0D0D14"/>
          <w:sz w:val="24"/>
          <w:szCs w:val="24"/>
          <w:lang w:bidi="he-IL"/>
        </w:rPr>
        <w:t>“</w:t>
      </w:r>
      <w:r w:rsidRPr="00A87FCE">
        <w:rPr>
          <w:rFonts w:ascii="Times New Roman" w:hAnsi="Times New Roman" w:cs="Times New Roman"/>
          <w:color w:val="0D0D14"/>
          <w:sz w:val="24"/>
          <w:szCs w:val="24"/>
          <w:lang w:bidi="he-IL"/>
        </w:rPr>
        <w:t>something not exploited</w:t>
      </w:r>
      <w:r w:rsidR="00A87FCE" w:rsidRPr="00A87FCE">
        <w:rPr>
          <w:rFonts w:ascii="Times New Roman" w:hAnsi="Times New Roman" w:cs="Times New Roman"/>
          <w:color w:val="0D0D14"/>
          <w:sz w:val="24"/>
          <w:szCs w:val="24"/>
          <w:lang w:bidi="he-IL"/>
        </w:rPr>
        <w:t>”</w:t>
      </w:r>
      <w:r w:rsidRPr="00A87FCE">
        <w:rPr>
          <w:rFonts w:ascii="Times New Roman" w:hAnsi="Times New Roman" w:cs="Times New Roman"/>
          <w:color w:val="0D0D14"/>
          <w:sz w:val="24"/>
          <w:szCs w:val="24"/>
          <w:lang w:bidi="he-IL"/>
        </w:rPr>
        <w:t>, Christ possessed equality with God but refused to seize advantage.</w:t>
      </w:r>
    </w:p>
    <w:p w14:paraId="28DE80D0" w14:textId="77777777" w:rsidR="00CE42D7" w:rsidRPr="00A87FCE" w:rsidRDefault="00CE42D7">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ἐκένωσεν as addition, not subtraction: Christ emptied Himself by taking the form of a slave (Isaiah 53 allusion).</w:t>
      </w:r>
    </w:p>
    <w:p w14:paraId="7B006687" w14:textId="77777777" w:rsidR="00CE42D7" w:rsidRPr="00A87FCE" w:rsidRDefault="00CE42D7">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μορφὴν δούλου, ὁμοιώματι, σχήματι: expressing true humanity and servanthood.</w:t>
      </w:r>
    </w:p>
    <w:p w14:paraId="596A475F" w14:textId="77777777" w:rsidR="00CE42D7" w:rsidRPr="00A87FCE" w:rsidRDefault="00CE42D7">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γίνομαι as participle of means: “He humbled Himself by becoming obedient unto death.”</w:t>
      </w:r>
    </w:p>
    <w:p w14:paraId="5D40EACA" w14:textId="3D2B4742" w:rsidR="00CE42D7" w:rsidRPr="00A87FCE" w:rsidRDefault="00A87FCE">
      <w:pPr>
        <w:pStyle w:val="ListParagraph"/>
        <w:numPr>
          <w:ilvl w:val="0"/>
          <w:numId w:val="24"/>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Pr>
          <w:rFonts w:ascii="Times New Roman" w:hAnsi="Times New Roman" w:cs="Times New Roman"/>
          <w:color w:val="0D0D14"/>
          <w:sz w:val="24"/>
          <w:szCs w:val="24"/>
          <w:lang w:bidi="he-IL"/>
        </w:rPr>
        <w:t>Climatic</w:t>
      </w:r>
      <w:r w:rsidR="00CE42D7" w:rsidRPr="00A87FCE">
        <w:rPr>
          <w:rFonts w:ascii="Times New Roman" w:hAnsi="Times New Roman" w:cs="Times New Roman"/>
          <w:color w:val="0D0D14"/>
          <w:sz w:val="24"/>
          <w:szCs w:val="24"/>
          <w:lang w:bidi="he-IL"/>
        </w:rPr>
        <w:t xml:space="preserve"> obedience to the point of death, even cross-death.</w:t>
      </w:r>
    </w:p>
    <w:p w14:paraId="1E7C3B13"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2:9–11 The Exaltation of Christ</w:t>
      </w:r>
    </w:p>
    <w:p w14:paraId="1EF30CC4" w14:textId="16B99F38"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2:9  ὑπερύψωσεν: God exalted Christ to the highest degree.</w:t>
      </w:r>
    </w:p>
    <w:p w14:paraId="6D3D6BE7" w14:textId="77777777"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The “name above every name” is positional, dignity, office, and divine identity.</w:t>
      </w:r>
    </w:p>
    <w:p w14:paraId="68617FAA" w14:textId="6A1DD4D3"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2:10  ἵνα + κάμψῃ: purpose-result clause showing inevitable universal homage.</w:t>
      </w:r>
    </w:p>
    <w:p w14:paraId="7F6B9B9C" w14:textId="512F54ED"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Clear allusion to Isaiah 45:</w:t>
      </w:r>
      <w:r w:rsidR="00621529" w:rsidRPr="00A87FCE">
        <w:rPr>
          <w:rFonts w:ascii="Times New Roman" w:hAnsi="Times New Roman" w:cs="Times New Roman"/>
          <w:color w:val="0D0D14"/>
          <w:sz w:val="24"/>
          <w:szCs w:val="24"/>
          <w:lang w:bidi="he-IL"/>
        </w:rPr>
        <w:t>23</w:t>
      </w:r>
      <w:r w:rsidRPr="00A87FCE">
        <w:rPr>
          <w:rFonts w:ascii="Times New Roman" w:hAnsi="Times New Roman" w:cs="Times New Roman"/>
          <w:color w:val="0D0D14"/>
          <w:sz w:val="24"/>
          <w:szCs w:val="24"/>
          <w:lang w:bidi="he-IL"/>
        </w:rPr>
        <w:t xml:space="preserve"> Jesus fulfills prophecy concerning </w:t>
      </w:r>
      <w:r w:rsidR="00A87FCE">
        <w:rPr>
          <w:rFonts w:ascii="Times New Roman" w:hAnsi="Times New Roman" w:cs="Times New Roman"/>
          <w:color w:val="0D0D14"/>
          <w:sz w:val="24"/>
          <w:szCs w:val="24"/>
          <w:lang w:bidi="he-IL"/>
        </w:rPr>
        <w:t>Jehovah</w:t>
      </w:r>
      <w:r w:rsidRPr="00A87FCE">
        <w:rPr>
          <w:rFonts w:ascii="Times New Roman" w:hAnsi="Times New Roman" w:cs="Times New Roman"/>
          <w:color w:val="0D0D14"/>
          <w:sz w:val="24"/>
          <w:szCs w:val="24"/>
          <w:lang w:bidi="he-IL"/>
        </w:rPr>
        <w:t>.</w:t>
      </w:r>
    </w:p>
    <w:p w14:paraId="5E3D9D5E" w14:textId="77777777"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ἐν as basis: worship occurs on the grounds of Christ’s exalted name.</w:t>
      </w:r>
    </w:p>
    <w:p w14:paraId="7CCAF5FD" w14:textId="77777777" w:rsidR="00CE42D7" w:rsidRPr="00A87FCE" w:rsidRDefault="00CE42D7">
      <w:pPr>
        <w:pStyle w:val="ListParagraph"/>
        <w:numPr>
          <w:ilvl w:val="0"/>
          <w:numId w:val="25"/>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2:11 – καί + ἐξομολογήσηται: both bowing and confessing form one eschatological act of worship.</w:t>
      </w:r>
    </w:p>
    <w:p w14:paraId="114BD8C2" w14:textId="7478D8E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 xml:space="preserve">Theological Function of 2:1–11 </w:t>
      </w:r>
    </w:p>
    <w:p w14:paraId="25C748E5" w14:textId="77777777" w:rsidR="00CE42D7" w:rsidRPr="00A87FCE" w:rsidRDefault="00CE42D7">
      <w:pPr>
        <w:pStyle w:val="ListParagraph"/>
        <w:numPr>
          <w:ilvl w:val="0"/>
          <w:numId w:val="26"/>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Unity (2:1–4) is grounded not in experience but in Gospel realities.</w:t>
      </w:r>
    </w:p>
    <w:p w14:paraId="6944386E" w14:textId="77777777" w:rsidR="00CE42D7" w:rsidRPr="00A87FCE" w:rsidRDefault="00CE42D7">
      <w:pPr>
        <w:pStyle w:val="ListParagraph"/>
        <w:numPr>
          <w:ilvl w:val="0"/>
          <w:numId w:val="26"/>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The ethical call flows from Christ’s humility (2:5–8) and God’s exaltation (2:9–11).</w:t>
      </w:r>
    </w:p>
    <w:p w14:paraId="7935B97C" w14:textId="77777777" w:rsidR="00CE42D7" w:rsidRPr="00A87FCE" w:rsidRDefault="00CE42D7">
      <w:pPr>
        <w:pStyle w:val="ListParagraph"/>
        <w:numPr>
          <w:ilvl w:val="0"/>
          <w:numId w:val="26"/>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Christ’s humiliation and exaltation reveal divine character; imitation is rooted in theology, not moralism.</w:t>
      </w:r>
    </w:p>
    <w:p w14:paraId="1D19CEF9" w14:textId="3F63CC08" w:rsidR="00CE42D7" w:rsidRPr="00A87FCE" w:rsidRDefault="00CE42D7">
      <w:pPr>
        <w:pStyle w:val="ListParagraph"/>
        <w:numPr>
          <w:ilvl w:val="0"/>
          <w:numId w:val="26"/>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lastRenderedPageBreak/>
        <w:t xml:space="preserve">The Isaiah allusion confirms Jesus shares </w:t>
      </w:r>
      <w:r w:rsidR="00A87FCE">
        <w:rPr>
          <w:rFonts w:ascii="Times New Roman" w:hAnsi="Times New Roman" w:cs="Times New Roman"/>
          <w:color w:val="0D0D14"/>
          <w:sz w:val="24"/>
          <w:szCs w:val="24"/>
          <w:lang w:bidi="he-IL"/>
        </w:rPr>
        <w:t>Jehovah’s</w:t>
      </w:r>
      <w:r w:rsidRPr="00A87FCE">
        <w:rPr>
          <w:rFonts w:ascii="Times New Roman" w:hAnsi="Times New Roman" w:cs="Times New Roman"/>
          <w:color w:val="0D0D14"/>
          <w:sz w:val="24"/>
          <w:szCs w:val="24"/>
          <w:lang w:bidi="he-IL"/>
        </w:rPr>
        <w:t xml:space="preserve"> identity and receives divine worship.</w:t>
      </w:r>
    </w:p>
    <w:p w14:paraId="0225E2C7" w14:textId="77777777" w:rsidR="00CE42D7" w:rsidRPr="00A87FCE" w:rsidRDefault="00CE42D7">
      <w:pPr>
        <w:pStyle w:val="ListParagraph"/>
        <w:numPr>
          <w:ilvl w:val="0"/>
          <w:numId w:val="26"/>
        </w:numPr>
        <w:tabs>
          <w:tab w:val="left" w:pos="220"/>
          <w:tab w:val="left" w:pos="72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The ἵνα clauses demonstrate that God’s purposes in Christ will unfailingly come to pass.</w:t>
      </w:r>
    </w:p>
    <w:p w14:paraId="0279A83D"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 Working Out Salvation and Witness (2:12–18)</w:t>
      </w:r>
    </w:p>
    <w:p w14:paraId="1037EBA1" w14:textId="77777777" w:rsidR="00CE42D7" w:rsidRPr="00A87FCE" w:rsidRDefault="00CE42D7">
      <w:pPr>
        <w:numPr>
          <w:ilvl w:val="0"/>
          <w:numId w:val="11"/>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Work Out Salvation with Fear and Trembling (2:12–13)</w:t>
      </w:r>
    </w:p>
    <w:p w14:paraId="4C574431" w14:textId="77777777" w:rsidR="00CE42D7" w:rsidRPr="00A87FCE" w:rsidRDefault="00CE42D7">
      <w:pPr>
        <w:pStyle w:val="ListParagraph"/>
        <w:numPr>
          <w:ilvl w:val="0"/>
          <w:numId w:val="2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God works within believers both to will and to act.</w:t>
      </w:r>
    </w:p>
    <w:p w14:paraId="4ADFF3AB" w14:textId="77777777" w:rsidR="00CE42D7" w:rsidRPr="00A87FCE" w:rsidRDefault="00CE42D7">
      <w:pPr>
        <w:numPr>
          <w:ilvl w:val="0"/>
          <w:numId w:val="12"/>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Blameless Witness in a Crooked Generation (2:14–18)</w:t>
      </w:r>
    </w:p>
    <w:p w14:paraId="0C93D605" w14:textId="77777777" w:rsidR="00CE42D7" w:rsidRPr="00A87FCE" w:rsidRDefault="00CE42D7">
      <w:pPr>
        <w:pStyle w:val="ListParagraph"/>
        <w:numPr>
          <w:ilvl w:val="0"/>
          <w:numId w:val="2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Shine as lights in the world, holding fast the word of life.</w:t>
      </w:r>
    </w:p>
    <w:p w14:paraId="1E862AB3" w14:textId="77777777" w:rsidR="00CE42D7" w:rsidRPr="00A87FCE" w:rsidRDefault="00CE42D7">
      <w:pPr>
        <w:pStyle w:val="ListParagraph"/>
        <w:numPr>
          <w:ilvl w:val="0"/>
          <w:numId w:val="27"/>
        </w:numPr>
        <w:tabs>
          <w:tab w:val="left" w:pos="940"/>
          <w:tab w:val="left" w:pos="1440"/>
        </w:tabs>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Paul’s joy was likened to being poured out as a drink offering.</w:t>
      </w:r>
    </w:p>
    <w:p w14:paraId="1C20E74D"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IV. Examples of Servant Leadership (2:19–30)</w:t>
      </w:r>
    </w:p>
    <w:p w14:paraId="35563962" w14:textId="77777777" w:rsidR="00CE42D7" w:rsidRPr="00A87FCE" w:rsidRDefault="00CE42D7">
      <w:pPr>
        <w:numPr>
          <w:ilvl w:val="0"/>
          <w:numId w:val="13"/>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Timothy as a Model of Genuine Concern (2:19–24)</w:t>
      </w:r>
    </w:p>
    <w:p w14:paraId="47E43839" w14:textId="77777777" w:rsidR="00CE42D7" w:rsidRPr="00A87FCE" w:rsidRDefault="00CE42D7">
      <w:pPr>
        <w:numPr>
          <w:ilvl w:val="0"/>
          <w:numId w:val="13"/>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Epaphroditus as a Model of Selfless Service (2:25–30)</w:t>
      </w:r>
    </w:p>
    <w:p w14:paraId="194DB176"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V. Warning Against False Confidence (3:1–21)</w:t>
      </w:r>
    </w:p>
    <w:p w14:paraId="549DABAC" w14:textId="77777777" w:rsidR="00CE42D7" w:rsidRPr="00A87FCE" w:rsidRDefault="00CE42D7">
      <w:pPr>
        <w:numPr>
          <w:ilvl w:val="0"/>
          <w:numId w:val="14"/>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Rejoice in the Lord and Beware of False Teachers (3:1–3)</w:t>
      </w:r>
    </w:p>
    <w:p w14:paraId="3FCFBAFA" w14:textId="77777777" w:rsidR="00CE42D7" w:rsidRPr="00A87FCE" w:rsidRDefault="00CE42D7">
      <w:pPr>
        <w:numPr>
          <w:ilvl w:val="0"/>
          <w:numId w:val="14"/>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Paul’s Loss and Gain in Christ (3:4–11)</w:t>
      </w:r>
    </w:p>
    <w:p w14:paraId="1F44EC54" w14:textId="77777777" w:rsidR="00CE42D7" w:rsidRPr="00A87FCE" w:rsidRDefault="00CE42D7">
      <w:pPr>
        <w:numPr>
          <w:ilvl w:val="0"/>
          <w:numId w:val="14"/>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Pursuing the Heavenly Prize (3:12–16)</w:t>
      </w:r>
    </w:p>
    <w:p w14:paraId="322B0E62" w14:textId="77777777" w:rsidR="00CE42D7" w:rsidRPr="00A87FCE" w:rsidRDefault="00CE42D7">
      <w:pPr>
        <w:numPr>
          <w:ilvl w:val="0"/>
          <w:numId w:val="14"/>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Citizenship in Heaven vs. Earthly Mindedness (3:17–21)</w:t>
      </w:r>
    </w:p>
    <w:p w14:paraId="38D3A476"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VI. Exhortations for Unity, Joy, and Peace (4:1–9)</w:t>
      </w:r>
    </w:p>
    <w:p w14:paraId="2A591B0F" w14:textId="77777777" w:rsidR="00CE42D7" w:rsidRPr="00A87FCE" w:rsidRDefault="00CE42D7">
      <w:pPr>
        <w:numPr>
          <w:ilvl w:val="0"/>
          <w:numId w:val="15"/>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Appeal to Euodia and Syntyche (4:1–3)</w:t>
      </w:r>
    </w:p>
    <w:p w14:paraId="376FE046" w14:textId="77777777" w:rsidR="00CE42D7" w:rsidRPr="00A87FCE" w:rsidRDefault="00CE42D7">
      <w:pPr>
        <w:numPr>
          <w:ilvl w:val="0"/>
          <w:numId w:val="15"/>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Rejoice and Pray with Thanksgiving (4:4–7)</w:t>
      </w:r>
    </w:p>
    <w:p w14:paraId="59FB9E64" w14:textId="77777777" w:rsidR="00CE42D7" w:rsidRPr="00A87FCE" w:rsidRDefault="00CE42D7">
      <w:pPr>
        <w:numPr>
          <w:ilvl w:val="0"/>
          <w:numId w:val="15"/>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Think on What Is Excellent (4:8–9)</w:t>
      </w:r>
    </w:p>
    <w:p w14:paraId="24F84EAD"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VII. Gratitude for the Philippians’ Partnership (4:10–20)</w:t>
      </w:r>
    </w:p>
    <w:p w14:paraId="64EF0F59" w14:textId="77777777" w:rsidR="00CE42D7" w:rsidRPr="00A87FCE" w:rsidRDefault="00CE42D7">
      <w:pPr>
        <w:numPr>
          <w:ilvl w:val="0"/>
          <w:numId w:val="16"/>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lastRenderedPageBreak/>
        <w:t>Paul’s Contentment in All Circumstances (4:10–13)</w:t>
      </w:r>
    </w:p>
    <w:p w14:paraId="422CB4A1" w14:textId="77777777" w:rsidR="00CE42D7" w:rsidRPr="00A87FCE" w:rsidRDefault="00CE42D7">
      <w:pPr>
        <w:numPr>
          <w:ilvl w:val="0"/>
          <w:numId w:val="16"/>
        </w:numPr>
        <w:tabs>
          <w:tab w:val="left" w:pos="220"/>
          <w:tab w:val="left" w:pos="720"/>
        </w:tabs>
        <w:autoSpaceDE w:val="0"/>
        <w:autoSpaceDN w:val="0"/>
        <w:adjustRightInd w:val="0"/>
        <w:spacing w:after="0" w:line="480" w:lineRule="auto"/>
        <w:ind w:hanging="720"/>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Generous Partnership in Giving and Receiving (4:14–20)</w:t>
      </w:r>
    </w:p>
    <w:p w14:paraId="481A6286" w14:textId="77777777" w:rsidR="00CE42D7" w:rsidRPr="00A87FCE"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A87FCE">
        <w:rPr>
          <w:rFonts w:ascii="Times New Roman" w:hAnsi="Times New Roman" w:cs="Times New Roman"/>
          <w:color w:val="0D0D14"/>
          <w:sz w:val="24"/>
          <w:szCs w:val="24"/>
          <w:lang w:bidi="he-IL"/>
        </w:rPr>
        <w:t>VIII. Final Greetings and Benediction (4:21–23)</w:t>
      </w:r>
    </w:p>
    <w:p w14:paraId="40503E99" w14:textId="77777777" w:rsidR="00CE42D7" w:rsidRPr="00F340A6" w:rsidRDefault="00CE42D7" w:rsidP="00621529">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Contextual Summary</w:t>
      </w:r>
    </w:p>
    <w:p w14:paraId="617E39F0"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Paul’s letter to the Philippians reflects his deep affection and concern for them as they face opposition from public officials and even conflict among themselves. These pressures prompted Paul to share his own suffering and confidence in Christ, reframing for them a gospel-centered approach to honor and shame.</w:t>
      </w:r>
    </w:p>
    <w:p w14:paraId="42819B88"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Philippian culture was shaped by Roman ideals of honor, boasting, and devotion to Caesar. As a colony composed of veterans and proud Roman citizens, Philippi prized public displays of civic virtue and achievement. Against this background, Paul speaks of Christ’s humiliation paradoxically as His exaltation. He presents Christ’s example of humility as the true pattern for glory.</w:t>
      </w:r>
    </w:p>
    <w:p w14:paraId="17FB3156" w14:textId="7892F07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The literary context reinforces this emphasis on Christ’s example. After expressing gratitude for their partnership and support, Paul describes his chains as advancing Christ’s message. He then exhorts the church to live worthy of the gospel, transitioning to his appeal for unity in the text under analysis (2:1–11). The Christ Hymn serves as the theological center of the letter, grounding the believers’ humility and unity in Christ’s example.</w:t>
      </w:r>
    </w:p>
    <w:p w14:paraId="1AA07747" w14:textId="77777777" w:rsidR="00CE42D7" w:rsidRPr="00F340A6"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Textual Variants</w:t>
      </w:r>
    </w:p>
    <w:p w14:paraId="190C99C4"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Four textual variants appear in the UBS⁵ apparatus for Philippians 2:1–11. The variants in verse 9 and verse 11b have little to no impact on translation, whereas those in </w:t>
      </w:r>
      <w:r w:rsidRPr="00F340A6">
        <w:rPr>
          <w:rFonts w:ascii="Times New Roman" w:hAnsi="Times New Roman" w:cs="Times New Roman"/>
          <w:color w:val="0D0D14"/>
          <w:sz w:val="24"/>
          <w:szCs w:val="24"/>
          <w:lang w:bidi="he-IL"/>
        </w:rPr>
        <w:lastRenderedPageBreak/>
        <w:t>verse 5 and verse 11a exert a slight or minor effect on the text. It is the latter two that this paper will discuss.</w:t>
      </w:r>
    </w:p>
    <w:p w14:paraId="1373A5CF"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2:5</w:t>
      </w:r>
    </w:p>
    <w:p w14:paraId="56ACB31D" w14:textId="038C6D5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External evidence indicates that the first reading, </w:t>
      </w:r>
      <w:r w:rsidRPr="00F340A6">
        <w:rPr>
          <w:rFonts w:ascii="Times New Roman" w:hAnsi="Times New Roman" w:cs="Times New Roman"/>
          <w:i/>
          <w:iCs/>
          <w:color w:val="0D0D14"/>
          <w:sz w:val="24"/>
          <w:szCs w:val="24"/>
          <w:lang w:bidi="he-IL"/>
        </w:rPr>
        <w:t>τοῦτο</w:t>
      </w:r>
      <w:r w:rsidRPr="00F340A6">
        <w:rPr>
          <w:rFonts w:ascii="Times New Roman" w:hAnsi="Times New Roman" w:cs="Times New Roman"/>
          <w:color w:val="0D0D14"/>
          <w:sz w:val="24"/>
          <w:szCs w:val="24"/>
          <w:lang w:bidi="he-IL"/>
        </w:rPr>
        <w:t>, is preferred among critics, carrying a “B” rating by Metzger’s committee.</w:t>
      </w:r>
      <w:r w:rsidR="00E841DD">
        <w:rPr>
          <w:rStyle w:val="FootnoteReference"/>
          <w:rFonts w:ascii="Times New Roman" w:hAnsi="Times New Roman" w:cs="Times New Roman"/>
          <w:color w:val="0D0D14"/>
          <w:sz w:val="24"/>
          <w:szCs w:val="24"/>
          <w:lang w:bidi="he-IL"/>
        </w:rPr>
        <w:footnoteReference w:id="19"/>
      </w:r>
      <w:r w:rsidRPr="00F340A6">
        <w:rPr>
          <w:rFonts w:ascii="Times New Roman" w:hAnsi="Times New Roman" w:cs="Times New Roman"/>
          <w:color w:val="0D0D14"/>
          <w:sz w:val="24"/>
          <w:szCs w:val="24"/>
          <w:lang w:bidi="he-IL"/>
        </w:rPr>
        <w:t xml:space="preserve"> Despite this rating, the alternate reading </w:t>
      </w:r>
      <w:r w:rsidRPr="00F340A6">
        <w:rPr>
          <w:rFonts w:ascii="Times New Roman" w:hAnsi="Times New Roman" w:cs="Times New Roman"/>
          <w:i/>
          <w:iCs/>
          <w:color w:val="0D0D14"/>
          <w:sz w:val="24"/>
          <w:szCs w:val="24"/>
          <w:lang w:bidi="he-IL"/>
        </w:rPr>
        <w:t>τοῦτο γάρ</w:t>
      </w:r>
      <w:r w:rsidRPr="00F340A6">
        <w:rPr>
          <w:rFonts w:ascii="Times New Roman" w:hAnsi="Times New Roman" w:cs="Times New Roman"/>
          <w:color w:val="0D0D14"/>
          <w:sz w:val="24"/>
          <w:szCs w:val="24"/>
          <w:lang w:bidi="he-IL"/>
        </w:rPr>
        <w:t xml:space="preserve"> is supported by </w:t>
      </w:r>
      <w:r w:rsidRPr="00F340A6">
        <w:rPr>
          <w:rFonts w:ascii="Cambria Math" w:hAnsi="Cambria Math" w:cs="Cambria Math"/>
          <w:color w:val="0D0D14"/>
          <w:sz w:val="24"/>
          <w:szCs w:val="24"/>
          <w:lang w:bidi="he-IL"/>
        </w:rPr>
        <w:t>𝔓</w:t>
      </w:r>
      <w:r w:rsidRPr="00F340A6">
        <w:rPr>
          <w:rFonts w:ascii="Times New Roman" w:hAnsi="Times New Roman" w:cs="Times New Roman"/>
          <w:color w:val="0D0D14"/>
          <w:sz w:val="24"/>
          <w:szCs w:val="24"/>
          <w:lang w:bidi="he-IL"/>
        </w:rPr>
        <w:t xml:space="preserve">⁴⁶, according to Metzger and Ehrman, and dates to approximately A.D. 200—roughly a century and a half earlier than the earliest witnesses for </w:t>
      </w:r>
      <w:r w:rsidRPr="00F340A6">
        <w:rPr>
          <w:rFonts w:ascii="Times New Roman" w:hAnsi="Times New Roman" w:cs="Times New Roman"/>
          <w:i/>
          <w:iCs/>
          <w:color w:val="0D0D14"/>
          <w:sz w:val="24"/>
          <w:szCs w:val="24"/>
          <w:lang w:bidi="he-IL"/>
        </w:rPr>
        <w:t>τοῦτο</w:t>
      </w:r>
      <w:r w:rsidRPr="00F340A6">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rtl/>
          <w:lang w:bidi="he-IL"/>
        </w:rPr>
        <w:t>א</w:t>
      </w:r>
      <w:r w:rsidRPr="00F340A6">
        <w:rPr>
          <w:rFonts w:ascii="Times New Roman" w:hAnsi="Times New Roman" w:cs="Times New Roman"/>
          <w:color w:val="0D0D14"/>
          <w:sz w:val="24"/>
          <w:szCs w:val="24"/>
          <w:lang w:bidi="he-IL"/>
        </w:rPr>
        <w:t xml:space="preserve"> and B).</w:t>
      </w:r>
      <w:r w:rsidR="00E841DD">
        <w:rPr>
          <w:rStyle w:val="FootnoteReference"/>
          <w:rFonts w:ascii="Times New Roman" w:hAnsi="Times New Roman" w:cs="Times New Roman"/>
          <w:color w:val="0D0D14"/>
          <w:sz w:val="24"/>
          <w:szCs w:val="24"/>
          <w:lang w:bidi="he-IL"/>
        </w:rPr>
        <w:footnoteReference w:id="20"/>
      </w:r>
      <w:r w:rsidRPr="00F340A6">
        <w:rPr>
          <w:rFonts w:ascii="Times New Roman" w:hAnsi="Times New Roman" w:cs="Times New Roman"/>
          <w:color w:val="0D0D14"/>
          <w:sz w:val="24"/>
          <w:szCs w:val="24"/>
          <w:lang w:bidi="he-IL"/>
        </w:rPr>
        <w:t xml:space="preserve"> The decision ultimately rests on the critic’s judgment of which circumstances appear most plausible. Nevertheless, this paper will proceed with the UBS⁵ text as presented.</w:t>
      </w:r>
    </w:p>
    <w:p w14:paraId="3A60533A"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2:11a</w:t>
      </w:r>
    </w:p>
    <w:p w14:paraId="1C659CEF" w14:textId="73A63A09"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Metzger’s committee assigned this variant a “C” rating, indicating uncertainty regarding whether the subjunctive (</w:t>
      </w:r>
      <w:r w:rsidRPr="00F340A6">
        <w:rPr>
          <w:rFonts w:ascii="Times New Roman" w:hAnsi="Times New Roman" w:cs="Times New Roman"/>
          <w:i/>
          <w:iCs/>
          <w:color w:val="0D0D14"/>
          <w:sz w:val="24"/>
          <w:szCs w:val="24"/>
          <w:lang w:bidi="he-IL"/>
        </w:rPr>
        <w:t>ἐξομολογήσηται</w:t>
      </w:r>
      <w:r w:rsidRPr="00F340A6">
        <w:rPr>
          <w:rFonts w:ascii="Times New Roman" w:hAnsi="Times New Roman" w:cs="Times New Roman"/>
          <w:color w:val="0D0D14"/>
          <w:sz w:val="24"/>
          <w:szCs w:val="24"/>
          <w:lang w:bidi="he-IL"/>
        </w:rPr>
        <w:t>) or the future indicative (</w:t>
      </w:r>
      <w:r w:rsidRPr="00F340A6">
        <w:rPr>
          <w:rFonts w:ascii="Times New Roman" w:hAnsi="Times New Roman" w:cs="Times New Roman"/>
          <w:i/>
          <w:iCs/>
          <w:color w:val="0D0D14"/>
          <w:sz w:val="24"/>
          <w:szCs w:val="24"/>
          <w:lang w:bidi="he-IL"/>
        </w:rPr>
        <w:t>ἐξομολογήσεται</w:t>
      </w:r>
      <w:r w:rsidRPr="00F340A6">
        <w:rPr>
          <w:rFonts w:ascii="Times New Roman" w:hAnsi="Times New Roman" w:cs="Times New Roman"/>
          <w:color w:val="0D0D14"/>
          <w:sz w:val="24"/>
          <w:szCs w:val="24"/>
          <w:lang w:bidi="he-IL"/>
        </w:rPr>
        <w:t>) should be preferred. Both readings enjoy strong manuscript attestation. The indicative has the majority of support, appearing in the Byzantine tradition as well as in early witnesses such as A and C. This analysis agrees with Silva’s conclusion that the difference between the two forms does not significantly affect the certainty of every knee bowing at the name of Christ.</w:t>
      </w:r>
      <w:r w:rsidR="00E841DD">
        <w:rPr>
          <w:rStyle w:val="FootnoteReference"/>
          <w:rFonts w:ascii="Times New Roman" w:hAnsi="Times New Roman" w:cs="Times New Roman"/>
          <w:color w:val="0D0D14"/>
          <w:sz w:val="24"/>
          <w:szCs w:val="24"/>
          <w:lang w:bidi="he-IL"/>
        </w:rPr>
        <w:footnoteReference w:id="21"/>
      </w:r>
    </w:p>
    <w:p w14:paraId="6EE4C2E2" w14:textId="21A6802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lastRenderedPageBreak/>
        <w:t xml:space="preserve">Peter R. Rodgers’s analysis of the internal evidence shows that Paul changed </w:t>
      </w:r>
      <w:r w:rsidRPr="00F340A6">
        <w:rPr>
          <w:rFonts w:ascii="Times New Roman" w:hAnsi="Times New Roman" w:cs="Times New Roman"/>
          <w:i/>
          <w:iCs/>
          <w:color w:val="0D0D14"/>
          <w:sz w:val="24"/>
          <w:szCs w:val="24"/>
          <w:lang w:bidi="he-IL"/>
        </w:rPr>
        <w:t>κάμψει</w:t>
      </w:r>
      <w:r w:rsidRPr="00F340A6">
        <w:rPr>
          <w:rFonts w:ascii="Times New Roman" w:hAnsi="Times New Roman" w:cs="Times New Roman"/>
          <w:color w:val="0D0D14"/>
          <w:sz w:val="24"/>
          <w:szCs w:val="24"/>
          <w:lang w:bidi="he-IL"/>
        </w:rPr>
        <w:t xml:space="preserve"> to the subjunctive </w:t>
      </w:r>
      <w:r w:rsidRPr="00F340A6">
        <w:rPr>
          <w:rFonts w:ascii="Times New Roman" w:hAnsi="Times New Roman" w:cs="Times New Roman"/>
          <w:i/>
          <w:iCs/>
          <w:color w:val="0D0D14"/>
          <w:sz w:val="24"/>
          <w:szCs w:val="24"/>
          <w:lang w:bidi="he-IL"/>
        </w:rPr>
        <w:t>κάμψῃ</w:t>
      </w:r>
      <w:r w:rsidRPr="00F340A6">
        <w:rPr>
          <w:rFonts w:ascii="Times New Roman" w:hAnsi="Times New Roman" w:cs="Times New Roman"/>
          <w:color w:val="0D0D14"/>
          <w:sz w:val="24"/>
          <w:szCs w:val="24"/>
          <w:lang w:bidi="he-IL"/>
        </w:rPr>
        <w:t>. Rodgers argues that if Paul altered the first verb from a future to a subjunctive, he most likely changed the second as well.</w:t>
      </w:r>
      <w:r w:rsidR="00E841DD">
        <w:rPr>
          <w:rStyle w:val="FootnoteReference"/>
          <w:rFonts w:ascii="Times New Roman" w:hAnsi="Times New Roman" w:cs="Times New Roman"/>
          <w:color w:val="0D0D14"/>
          <w:sz w:val="24"/>
          <w:szCs w:val="24"/>
          <w:lang w:bidi="he-IL"/>
        </w:rPr>
        <w:footnoteReference w:id="22"/>
      </w:r>
      <w:r w:rsidRPr="00F340A6">
        <w:rPr>
          <w:rFonts w:ascii="Times New Roman" w:hAnsi="Times New Roman" w:cs="Times New Roman"/>
          <w:color w:val="0D0D14"/>
          <w:sz w:val="24"/>
          <w:szCs w:val="24"/>
          <w:lang w:bidi="he-IL"/>
        </w:rPr>
        <w:t xml:space="preserve"> Hellerman reports similar findings showing internal evidence that the subjunctive fits Paul’s style and was likely changed by accident or by a scribal attempt to harmonize the text with Isa 45:23.</w:t>
      </w:r>
      <w:r w:rsidR="00E841DD">
        <w:rPr>
          <w:rStyle w:val="FootnoteReference"/>
          <w:rFonts w:ascii="Times New Roman" w:hAnsi="Times New Roman" w:cs="Times New Roman"/>
          <w:color w:val="0D0D14"/>
          <w:sz w:val="24"/>
          <w:szCs w:val="24"/>
          <w:lang w:bidi="he-IL"/>
        </w:rPr>
        <w:footnoteReference w:id="23"/>
      </w:r>
    </w:p>
    <w:p w14:paraId="2298FDB5" w14:textId="7CF6C312" w:rsidR="00CE42D7" w:rsidRPr="00F340A6"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eastAsia="zh-TW" w:bidi="he-IL"/>
        </w:rPr>
      </w:pPr>
      <w:r w:rsidRPr="00F340A6">
        <w:rPr>
          <w:rFonts w:ascii="Times New Roman" w:hAnsi="Times New Roman" w:cs="Times New Roman"/>
          <w:b/>
          <w:bCs/>
          <w:color w:val="0D0D14"/>
          <w:sz w:val="24"/>
          <w:szCs w:val="24"/>
          <w:lang w:bidi="he-IL"/>
        </w:rPr>
        <w:t>Translation</w:t>
      </w:r>
    </w:p>
    <w:p w14:paraId="772060BF" w14:textId="018811F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2:1 Therefore, if there is any encouragement in Christ, if there is any comfort of love, if there is any fellowship of the Spirit, if there is any tender affection and compassion,</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2 Then fulfill my joy that you might be of the same mind, and to have the same love, one in spirit and one in mind.</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3 Do nothing according to selfish ambition nor according to conceit but in humility by regarding one another to be better than oneself.</w:t>
      </w:r>
      <w:r w:rsidR="00AF414D">
        <w:rPr>
          <w:rFonts w:ascii="Times New Roman" w:hAnsi="Times New Roman" w:cs="Times New Roman"/>
          <w:color w:val="0D0D14"/>
          <w:sz w:val="24"/>
          <w:szCs w:val="24"/>
          <w:lang w:bidi="he-IL"/>
        </w:rPr>
        <w:t xml:space="preserve"> 4</w:t>
      </w:r>
      <w:r w:rsidRPr="00F340A6">
        <w:rPr>
          <w:rFonts w:ascii="Times New Roman" w:hAnsi="Times New Roman" w:cs="Times New Roman"/>
          <w:color w:val="0D0D14"/>
          <w:sz w:val="24"/>
          <w:szCs w:val="24"/>
          <w:lang w:bidi="he-IL"/>
        </w:rPr>
        <w:t xml:space="preserve"> Let not each one consider only the things of oneself, but also consider the things of each other.</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5 Let this thinking be in you which also is in Christ Jesus,</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6 Who, although being in the form of God, did not consider being equal with God something to be seized upon.</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7 But he emptied himself by taking on the form of a slave, and by being made in the likeness of human beings, and being found in appearance as a man,</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8 He humbled himself by becoming obedient until death, even the death of the cross.</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9 Therefore also God highly exalted him, and granted him the name above every name,</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 xml:space="preserve">10 So that at the name of Jesus every knee should bend, those in heaven and those on earth, and those </w:t>
      </w:r>
      <w:r w:rsidRPr="00F340A6">
        <w:rPr>
          <w:rFonts w:ascii="Times New Roman" w:hAnsi="Times New Roman" w:cs="Times New Roman"/>
          <w:color w:val="0D0D14"/>
          <w:sz w:val="24"/>
          <w:szCs w:val="24"/>
          <w:lang w:bidi="he-IL"/>
        </w:rPr>
        <w:lastRenderedPageBreak/>
        <w:t>under the earth.</w:t>
      </w:r>
      <w:r w:rsidR="00AF414D">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11 And every tongue should confess that Jesus Christ is Lord to the glory of God the Father.</w:t>
      </w:r>
    </w:p>
    <w:p w14:paraId="302C7A1F"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Translation Notes on Syntactical Choices</w:t>
      </w:r>
    </w:p>
    <w:p w14:paraId="3555BEF8"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2:1</w:t>
      </w:r>
    </w:p>
    <w:p w14:paraId="358C036A"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This analysis preserves the </w:t>
      </w:r>
      <w:r w:rsidRPr="00F340A6">
        <w:rPr>
          <w:rFonts w:ascii="Times New Roman" w:hAnsi="Times New Roman" w:cs="Times New Roman"/>
          <w:i/>
          <w:iCs/>
          <w:color w:val="0D0D14"/>
          <w:sz w:val="24"/>
          <w:szCs w:val="24"/>
          <w:lang w:bidi="he-IL"/>
        </w:rPr>
        <w:t>εἴ τις … εἴ τις …</w:t>
      </w:r>
      <w:r w:rsidRPr="00F340A6">
        <w:rPr>
          <w:rFonts w:ascii="Times New Roman" w:hAnsi="Times New Roman" w:cs="Times New Roman"/>
          <w:color w:val="0D0D14"/>
          <w:sz w:val="24"/>
          <w:szCs w:val="24"/>
          <w:lang w:bidi="he-IL"/>
        </w:rPr>
        <w:t xml:space="preserve"> structure, highlighting Paul’s rhetorical repetition. A more dynamic translation could condense the conditionals and prepositions into a single “if” or “since” at the head of the sentence. A paraphrastic rendering might employ a declarative form, “because you have encouragement…,” for smoother English style.</w:t>
      </w:r>
    </w:p>
    <w:p w14:paraId="576BD2BF"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The genitive </w:t>
      </w:r>
      <w:r w:rsidRPr="00F340A6">
        <w:rPr>
          <w:rFonts w:ascii="Times New Roman" w:hAnsi="Times New Roman" w:cs="Times New Roman"/>
          <w:i/>
          <w:iCs/>
          <w:color w:val="0D0D14"/>
          <w:sz w:val="24"/>
          <w:szCs w:val="24"/>
          <w:lang w:bidi="he-IL"/>
        </w:rPr>
        <w:t>ἀγάπης</w:t>
      </w:r>
      <w:r w:rsidRPr="00F340A6">
        <w:rPr>
          <w:rFonts w:ascii="Times New Roman" w:hAnsi="Times New Roman" w:cs="Times New Roman"/>
          <w:color w:val="0D0D14"/>
          <w:sz w:val="24"/>
          <w:szCs w:val="24"/>
          <w:lang w:bidi="he-IL"/>
        </w:rPr>
        <w:t xml:space="preserve"> is best understood as a genitive of source, translated “comfort from love.” However, this paper maintains the tradition of a more literal translation, avoiding interpretive choices and preserving ambiguity where multiple readings remain possible. Other alternatives for </w:t>
      </w:r>
      <w:r w:rsidRPr="00F340A6">
        <w:rPr>
          <w:rFonts w:ascii="Times New Roman" w:hAnsi="Times New Roman" w:cs="Times New Roman"/>
          <w:i/>
          <w:iCs/>
          <w:color w:val="0D0D14"/>
          <w:sz w:val="24"/>
          <w:szCs w:val="24"/>
          <w:lang w:bidi="he-IL"/>
        </w:rPr>
        <w:t>ἀγάπης</w:t>
      </w:r>
      <w:r w:rsidRPr="00F340A6">
        <w:rPr>
          <w:rFonts w:ascii="Times New Roman" w:hAnsi="Times New Roman" w:cs="Times New Roman"/>
          <w:color w:val="0D0D14"/>
          <w:sz w:val="24"/>
          <w:szCs w:val="24"/>
          <w:lang w:bidi="he-IL"/>
        </w:rPr>
        <w:t xml:space="preserve"> include the descriptive genitive (“loving comfort”) and the subjective genitive (“comfort produced by love”).</w:t>
      </w:r>
    </w:p>
    <w:p w14:paraId="5E80D009"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2:2</w:t>
      </w:r>
    </w:p>
    <w:p w14:paraId="0EB9E3A1" w14:textId="0C462539"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 xml:space="preserve">The </w:t>
      </w:r>
      <w:r w:rsidRPr="00F340A6">
        <w:rPr>
          <w:rFonts w:ascii="Times New Roman" w:hAnsi="Times New Roman" w:cs="Times New Roman"/>
          <w:i/>
          <w:iCs/>
          <w:color w:val="0D0D14"/>
          <w:sz w:val="24"/>
          <w:szCs w:val="24"/>
          <w:lang w:bidi="he-IL"/>
        </w:rPr>
        <w:t>ἵνα + subjunctive</w:t>
      </w:r>
      <w:r w:rsidRPr="00F340A6">
        <w:rPr>
          <w:rFonts w:ascii="Times New Roman" w:hAnsi="Times New Roman" w:cs="Times New Roman"/>
          <w:color w:val="0D0D14"/>
          <w:sz w:val="24"/>
          <w:szCs w:val="24"/>
          <w:lang w:bidi="he-IL"/>
        </w:rPr>
        <w:t xml:space="preserve"> construction in Philippians 2:2 is treated here as a result clause, emphasizing the outcome of the Philippians’ unity of mind. Another way to view the clause is as epexegetical, functioning to explain how Paul’s joy is fulfilled (“Fulfill my joy, that you be of the same mind”). Fee recognizes both possibilities but regards the result nuance as the more likely sense of the construction.</w:t>
      </w:r>
      <w:r w:rsidR="00E841DD">
        <w:rPr>
          <w:rStyle w:val="FootnoteReference"/>
          <w:rFonts w:ascii="Times New Roman" w:hAnsi="Times New Roman" w:cs="Times New Roman"/>
          <w:color w:val="0D0D14"/>
          <w:sz w:val="24"/>
          <w:szCs w:val="24"/>
          <w:lang w:bidi="he-IL"/>
        </w:rPr>
        <w:footnoteReference w:id="24"/>
      </w:r>
    </w:p>
    <w:p w14:paraId="0C5E62B8" w14:textId="77777777" w:rsidR="00CE42D7" w:rsidRPr="00F340A6"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lastRenderedPageBreak/>
        <w:t>2:3</w:t>
      </w:r>
    </w:p>
    <w:p w14:paraId="1BFDEE69"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The term </w:t>
      </w:r>
      <w:r w:rsidRPr="00F340A6">
        <w:rPr>
          <w:rFonts w:ascii="Times New Roman" w:hAnsi="Times New Roman" w:cs="Times New Roman"/>
          <w:i/>
          <w:iCs/>
          <w:color w:val="0D0D14"/>
          <w:sz w:val="24"/>
          <w:szCs w:val="24"/>
          <w:lang w:bidi="he-IL"/>
        </w:rPr>
        <w:t>ταπεινοφροσύνῃ</w:t>
      </w:r>
      <w:r w:rsidRPr="00F340A6">
        <w:rPr>
          <w:rFonts w:ascii="Times New Roman" w:hAnsi="Times New Roman" w:cs="Times New Roman"/>
          <w:color w:val="0D0D14"/>
          <w:sz w:val="24"/>
          <w:szCs w:val="24"/>
          <w:lang w:bidi="he-IL"/>
        </w:rPr>
        <w:t xml:space="preserve"> is best translated as a dative of manner, given the abstract nature of humility. Alternatively, the form may be taken as a dative of means, translating the phrase as “by humility,” thereby treating humility as the instrument employed in esteeming others more highly.</w:t>
      </w:r>
    </w:p>
    <w:p w14:paraId="77AFE325"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2:4</w:t>
      </w:r>
    </w:p>
    <w:p w14:paraId="31A9FAB4"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i/>
          <w:iCs/>
          <w:color w:val="0D0D14"/>
          <w:sz w:val="24"/>
          <w:szCs w:val="24"/>
          <w:lang w:bidi="he-IL"/>
        </w:rPr>
        <w:t>σκοποῦντες</w:t>
      </w:r>
      <w:r w:rsidRPr="00F340A6">
        <w:rPr>
          <w:rFonts w:ascii="Times New Roman" w:hAnsi="Times New Roman" w:cs="Times New Roman"/>
          <w:color w:val="0D0D14"/>
          <w:sz w:val="24"/>
          <w:szCs w:val="24"/>
          <w:lang w:bidi="he-IL"/>
        </w:rPr>
        <w:t xml:space="preserve"> (“consider”) is parsed as a present active participle being used here as an imperative.</w:t>
      </w:r>
    </w:p>
    <w:p w14:paraId="61039365"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2:5</w:t>
      </w:r>
    </w:p>
    <w:p w14:paraId="613A78E2"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“Thinking,” a substantival noun, is substituted for the imperative verb </w:t>
      </w:r>
      <w:r w:rsidRPr="00F340A6">
        <w:rPr>
          <w:rFonts w:ascii="Times New Roman" w:hAnsi="Times New Roman" w:cs="Times New Roman"/>
          <w:i/>
          <w:iCs/>
          <w:color w:val="0D0D14"/>
          <w:sz w:val="24"/>
          <w:szCs w:val="24"/>
          <w:lang w:bidi="he-IL"/>
        </w:rPr>
        <w:t>φρονεῖτε</w:t>
      </w:r>
      <w:r w:rsidRPr="00F340A6">
        <w:rPr>
          <w:rFonts w:ascii="Times New Roman" w:hAnsi="Times New Roman" w:cs="Times New Roman"/>
          <w:color w:val="0D0D14"/>
          <w:sz w:val="24"/>
          <w:szCs w:val="24"/>
          <w:lang w:bidi="he-IL"/>
        </w:rPr>
        <w:t>. In addition, the English imperative “let” preserves the verb’s imperatival force while maintaining readability.</w:t>
      </w:r>
    </w:p>
    <w:p w14:paraId="1B3C6539"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2:6</w:t>
      </w:r>
    </w:p>
    <w:p w14:paraId="6F20B70B" w14:textId="3FE530A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The participle </w:t>
      </w:r>
      <w:r w:rsidRPr="00F340A6">
        <w:rPr>
          <w:rFonts w:ascii="Times New Roman" w:hAnsi="Times New Roman" w:cs="Times New Roman"/>
          <w:i/>
          <w:iCs/>
          <w:color w:val="0D0D14"/>
          <w:sz w:val="24"/>
          <w:szCs w:val="24"/>
          <w:lang w:bidi="he-IL"/>
        </w:rPr>
        <w:t>ὑπάρχων</w:t>
      </w:r>
      <w:r w:rsidRPr="00F340A6">
        <w:rPr>
          <w:rFonts w:ascii="Times New Roman" w:hAnsi="Times New Roman" w:cs="Times New Roman"/>
          <w:color w:val="0D0D14"/>
          <w:sz w:val="24"/>
          <w:szCs w:val="24"/>
          <w:lang w:bidi="he-IL"/>
        </w:rPr>
        <w:t xml:space="preserve"> precedes the finite verb it modifies, </w:t>
      </w:r>
      <w:r w:rsidRPr="00F340A6">
        <w:rPr>
          <w:rFonts w:ascii="Times New Roman" w:hAnsi="Times New Roman" w:cs="Times New Roman"/>
          <w:i/>
          <w:iCs/>
          <w:color w:val="0D0D14"/>
          <w:sz w:val="24"/>
          <w:szCs w:val="24"/>
          <w:lang w:bidi="he-IL"/>
        </w:rPr>
        <w:t>ἡγήσατο</w:t>
      </w:r>
      <w:r w:rsidRPr="00F340A6">
        <w:rPr>
          <w:rFonts w:ascii="Times New Roman" w:hAnsi="Times New Roman" w:cs="Times New Roman"/>
          <w:color w:val="0D0D14"/>
          <w:sz w:val="24"/>
          <w:szCs w:val="24"/>
          <w:lang w:bidi="he-IL"/>
        </w:rPr>
        <w:t>, giving the clause a concessive sense, rendered here as “although.”</w:t>
      </w:r>
      <w:r w:rsidR="00D0725F">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 xml:space="preserve">The phrase </w:t>
      </w:r>
      <w:r w:rsidRPr="00F340A6">
        <w:rPr>
          <w:rFonts w:ascii="Times New Roman" w:hAnsi="Times New Roman" w:cs="Times New Roman"/>
          <w:i/>
          <w:iCs/>
          <w:color w:val="0D0D14"/>
          <w:sz w:val="24"/>
          <w:szCs w:val="24"/>
          <w:lang w:bidi="he-IL"/>
        </w:rPr>
        <w:t>τὸ εἶναι ἴσα θεῷ</w:t>
      </w:r>
      <w:r w:rsidRPr="00F340A6">
        <w:rPr>
          <w:rFonts w:ascii="Times New Roman" w:hAnsi="Times New Roman" w:cs="Times New Roman"/>
          <w:color w:val="0D0D14"/>
          <w:sz w:val="24"/>
          <w:szCs w:val="24"/>
          <w:lang w:bidi="he-IL"/>
        </w:rPr>
        <w:t>, literally “to be equal with God,” rendered in this paper as “being equal with God,” emphasizes Christ’s state of equality with God as something He could have seized upon, in contrast to the humble human condition He voluntarily assumed.</w:t>
      </w:r>
    </w:p>
    <w:p w14:paraId="551B0CF8" w14:textId="2D15334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 xml:space="preserve">The noun </w:t>
      </w:r>
      <w:r w:rsidRPr="00F340A6">
        <w:rPr>
          <w:rFonts w:ascii="Times New Roman" w:hAnsi="Times New Roman" w:cs="Times New Roman"/>
          <w:i/>
          <w:iCs/>
          <w:color w:val="0D0D14"/>
          <w:sz w:val="24"/>
          <w:szCs w:val="24"/>
          <w:lang w:bidi="he-IL"/>
        </w:rPr>
        <w:t>ἁρπαγμόν</w:t>
      </w:r>
      <w:r w:rsidRPr="00F340A6">
        <w:rPr>
          <w:rFonts w:ascii="Times New Roman" w:hAnsi="Times New Roman" w:cs="Times New Roman"/>
          <w:color w:val="0D0D14"/>
          <w:sz w:val="24"/>
          <w:szCs w:val="24"/>
          <w:lang w:bidi="he-IL"/>
        </w:rPr>
        <w:t xml:space="preserve"> literally means “robbery,” but given the preceding concessive participle (“although being in the form of God”), it logically follows that Christ did not “seize upon” this equality with God. The translation “robbery” would only follow if the </w:t>
      </w:r>
      <w:r w:rsidRPr="00F340A6">
        <w:rPr>
          <w:rFonts w:ascii="Times New Roman" w:hAnsi="Times New Roman" w:cs="Times New Roman"/>
          <w:color w:val="0D0D14"/>
          <w:sz w:val="24"/>
          <w:szCs w:val="24"/>
          <w:lang w:bidi="he-IL"/>
        </w:rPr>
        <w:lastRenderedPageBreak/>
        <w:t xml:space="preserve">participle </w:t>
      </w:r>
      <w:r w:rsidRPr="00F340A6">
        <w:rPr>
          <w:rFonts w:ascii="Times New Roman" w:hAnsi="Times New Roman" w:cs="Times New Roman"/>
          <w:i/>
          <w:iCs/>
          <w:color w:val="0D0D14"/>
          <w:sz w:val="24"/>
          <w:szCs w:val="24"/>
          <w:lang w:bidi="he-IL"/>
        </w:rPr>
        <w:t>ὑπάρχων</w:t>
      </w:r>
      <w:r w:rsidRPr="00F340A6">
        <w:rPr>
          <w:rFonts w:ascii="Times New Roman" w:hAnsi="Times New Roman" w:cs="Times New Roman"/>
          <w:color w:val="0D0D14"/>
          <w:sz w:val="24"/>
          <w:szCs w:val="24"/>
          <w:lang w:bidi="he-IL"/>
        </w:rPr>
        <w:t xml:space="preserve"> were causal (“Because He was equal with God, He did not consider it robbery to be equal with God”).</w:t>
      </w:r>
      <w:r w:rsidR="00E841DD">
        <w:rPr>
          <w:rStyle w:val="FootnoteReference"/>
          <w:rFonts w:ascii="Times New Roman" w:hAnsi="Times New Roman" w:cs="Times New Roman"/>
          <w:color w:val="0D0D14"/>
          <w:sz w:val="24"/>
          <w:szCs w:val="24"/>
          <w:lang w:bidi="he-IL"/>
        </w:rPr>
        <w:footnoteReference w:id="25"/>
      </w:r>
    </w:p>
    <w:p w14:paraId="09CD5632"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2:7</w:t>
      </w:r>
    </w:p>
    <w:p w14:paraId="2570764F"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The participles </w:t>
      </w:r>
      <w:r w:rsidRPr="00F340A6">
        <w:rPr>
          <w:rFonts w:ascii="Times New Roman" w:hAnsi="Times New Roman" w:cs="Times New Roman"/>
          <w:i/>
          <w:iCs/>
          <w:color w:val="0D0D14"/>
          <w:sz w:val="24"/>
          <w:szCs w:val="24"/>
          <w:lang w:bidi="he-IL"/>
        </w:rPr>
        <w:t>λαβών</w:t>
      </w:r>
      <w:r w:rsidRPr="00F340A6">
        <w:rPr>
          <w:rFonts w:ascii="Times New Roman" w:hAnsi="Times New Roman" w:cs="Times New Roman"/>
          <w:color w:val="0D0D14"/>
          <w:sz w:val="24"/>
          <w:szCs w:val="24"/>
          <w:lang w:bidi="he-IL"/>
        </w:rPr>
        <w:t xml:space="preserve">, </w:t>
      </w:r>
      <w:r w:rsidRPr="00F340A6">
        <w:rPr>
          <w:rFonts w:ascii="Times New Roman" w:hAnsi="Times New Roman" w:cs="Times New Roman"/>
          <w:i/>
          <w:iCs/>
          <w:color w:val="0D0D14"/>
          <w:sz w:val="24"/>
          <w:szCs w:val="24"/>
          <w:lang w:bidi="he-IL"/>
        </w:rPr>
        <w:t>γενόμενος</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εὑρεθείς</w:t>
      </w:r>
      <w:r w:rsidRPr="00F340A6">
        <w:rPr>
          <w:rFonts w:ascii="Times New Roman" w:hAnsi="Times New Roman" w:cs="Times New Roman"/>
          <w:color w:val="0D0D14"/>
          <w:sz w:val="24"/>
          <w:szCs w:val="24"/>
          <w:lang w:bidi="he-IL"/>
        </w:rPr>
        <w:t xml:space="preserve"> in this study are presented here as instrumental participles, emphasizing that Christ’s act of self-emptying was accomplished through His incarnation and identification with humanity.</w:t>
      </w:r>
    </w:p>
    <w:p w14:paraId="66778CBD"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2:8</w:t>
      </w:r>
    </w:p>
    <w:p w14:paraId="135F18E9"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i/>
          <w:iCs/>
          <w:color w:val="0D0D14"/>
          <w:sz w:val="24"/>
          <w:szCs w:val="24"/>
          <w:lang w:bidi="he-IL"/>
        </w:rPr>
        <w:t>δὲ</w:t>
      </w:r>
      <w:r w:rsidRPr="00F340A6">
        <w:rPr>
          <w:rFonts w:ascii="Times New Roman" w:hAnsi="Times New Roman" w:cs="Times New Roman"/>
          <w:color w:val="0D0D14"/>
          <w:sz w:val="24"/>
          <w:szCs w:val="24"/>
          <w:lang w:bidi="he-IL"/>
        </w:rPr>
        <w:t xml:space="preserve"> is used emphatically here, rendered as “even” in this translation, making the cross the climactic point of Christ’s self-emptying.</w:t>
      </w:r>
    </w:p>
    <w:p w14:paraId="424B6BDA"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2:9</w:t>
      </w:r>
    </w:p>
    <w:p w14:paraId="62754F6D"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the phrase </w:t>
      </w:r>
      <w:r w:rsidRPr="00F340A6">
        <w:rPr>
          <w:rFonts w:ascii="Times New Roman" w:hAnsi="Times New Roman" w:cs="Times New Roman"/>
          <w:i/>
          <w:iCs/>
          <w:color w:val="0D0D14"/>
          <w:sz w:val="24"/>
          <w:szCs w:val="24"/>
          <w:lang w:bidi="he-IL"/>
        </w:rPr>
        <w:t>τὸ ὄνομα τὸ ὑπὲρ πᾶν ὄνομα</w:t>
      </w:r>
      <w:r w:rsidRPr="00F340A6">
        <w:rPr>
          <w:rFonts w:ascii="Times New Roman" w:hAnsi="Times New Roman" w:cs="Times New Roman"/>
          <w:color w:val="0D0D14"/>
          <w:sz w:val="24"/>
          <w:szCs w:val="24"/>
          <w:lang w:bidi="he-IL"/>
        </w:rPr>
        <w:t>, both articles highlight the superlative quality of Christ’s name. This translation renders the phrase “the name above every name” to follow the definite articles used in the earlier phrase, “even the death of the cross,” keeping with Paul’s rhetorical style in both phrases.</w:t>
      </w:r>
    </w:p>
    <w:p w14:paraId="49750281"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2:10</w:t>
      </w:r>
    </w:p>
    <w:p w14:paraId="28EDFD02" w14:textId="34F1810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 xml:space="preserve">The phrase </w:t>
      </w:r>
      <w:r w:rsidRPr="00F340A6">
        <w:rPr>
          <w:rFonts w:ascii="Times New Roman" w:hAnsi="Times New Roman" w:cs="Times New Roman"/>
          <w:i/>
          <w:iCs/>
          <w:color w:val="0D0D14"/>
          <w:sz w:val="24"/>
          <w:szCs w:val="24"/>
          <w:lang w:bidi="he-IL"/>
        </w:rPr>
        <w:t>ἐν τῷ ὀνόματι Ἰησοῦ</w:t>
      </w:r>
      <w:r w:rsidRPr="00F340A6">
        <w:rPr>
          <w:rFonts w:ascii="Times New Roman" w:hAnsi="Times New Roman" w:cs="Times New Roman"/>
          <w:color w:val="0D0D14"/>
          <w:sz w:val="24"/>
          <w:szCs w:val="24"/>
          <w:lang w:bidi="he-IL"/>
        </w:rPr>
        <w:t xml:space="preserve"> may be understood in more than one way grammatically. Rendering the Greek as “at the name” preserves the idiomatic sense in English and intentionally retains the ambiguity inherent in the Greek expression. This allows both nuances to remain present—the spherical (“every knee should bend at the </w:t>
      </w:r>
      <w:r w:rsidRPr="00F340A6">
        <w:rPr>
          <w:rFonts w:ascii="Times New Roman" w:hAnsi="Times New Roman" w:cs="Times New Roman"/>
          <w:color w:val="0D0D14"/>
          <w:sz w:val="24"/>
          <w:szCs w:val="24"/>
          <w:lang w:bidi="he-IL"/>
        </w:rPr>
        <w:lastRenderedPageBreak/>
        <w:t>mention of His name”) and the object nuance (“every knee should bend in the name of Jesus”).</w:t>
      </w:r>
      <w:r w:rsidR="00841FE5">
        <w:rPr>
          <w:rStyle w:val="FootnoteReference"/>
          <w:rFonts w:ascii="Times New Roman" w:hAnsi="Times New Roman" w:cs="Times New Roman"/>
          <w:color w:val="0D0D14"/>
          <w:sz w:val="24"/>
          <w:szCs w:val="24"/>
          <w:lang w:bidi="he-IL"/>
        </w:rPr>
        <w:footnoteReference w:id="26"/>
      </w:r>
    </w:p>
    <w:p w14:paraId="4D101004" w14:textId="77777777" w:rsidR="00CE42D7" w:rsidRPr="00F340A6" w:rsidRDefault="00CE42D7" w:rsidP="00D650E7">
      <w:pPr>
        <w:autoSpaceDE w:val="0"/>
        <w:autoSpaceDN w:val="0"/>
        <w:adjustRightInd w:val="0"/>
        <w:spacing w:before="360" w:after="0" w:line="480" w:lineRule="auto"/>
        <w:rPr>
          <w:rFonts w:ascii="Times New Roman" w:hAnsi="Times New Roman" w:cs="Times New Roman"/>
          <w:color w:val="0D0D14"/>
          <w:sz w:val="24"/>
          <w:szCs w:val="24"/>
          <w:lang w:bidi="he-IL"/>
        </w:rPr>
      </w:pPr>
      <w:r w:rsidRPr="00F340A6">
        <w:rPr>
          <w:rFonts w:ascii="Times New Roman" w:hAnsi="Times New Roman" w:cs="Times New Roman"/>
          <w:b/>
          <w:bCs/>
          <w:color w:val="0D0D14"/>
          <w:sz w:val="24"/>
          <w:szCs w:val="24"/>
          <w:lang w:bidi="he-IL"/>
        </w:rPr>
        <w:t>2:11</w:t>
      </w:r>
    </w:p>
    <w:p w14:paraId="7C433E91" w14:textId="1121556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eastAsia="zh-TW" w:bidi="he-IL"/>
        </w:rPr>
      </w:pPr>
      <w:r w:rsidRPr="00F340A6">
        <w:rPr>
          <w:rFonts w:ascii="Times New Roman" w:hAnsi="Times New Roman" w:cs="Times New Roman"/>
          <w:color w:val="0D0D14"/>
          <w:sz w:val="24"/>
          <w:szCs w:val="24"/>
          <w:lang w:bidi="he-IL"/>
        </w:rPr>
        <w:t xml:space="preserve">This paper works with the UBS⁵ text with a formal equivalence method of translation; therefore, </w:t>
      </w:r>
      <w:r w:rsidRPr="00F340A6">
        <w:rPr>
          <w:rFonts w:ascii="Times New Roman" w:hAnsi="Times New Roman" w:cs="Times New Roman"/>
          <w:i/>
          <w:iCs/>
          <w:color w:val="0D0D14"/>
          <w:sz w:val="24"/>
          <w:szCs w:val="24"/>
          <w:lang w:bidi="he-IL"/>
        </w:rPr>
        <w:t>ἐξομολογήσηται</w:t>
      </w:r>
      <w:r w:rsidRPr="00F340A6">
        <w:rPr>
          <w:rFonts w:ascii="Times New Roman" w:hAnsi="Times New Roman" w:cs="Times New Roman"/>
          <w:color w:val="0D0D14"/>
          <w:sz w:val="24"/>
          <w:szCs w:val="24"/>
          <w:lang w:bidi="he-IL"/>
        </w:rPr>
        <w:t xml:space="preserve"> (aorist subjunctive) is translated “should confess,” contrasting with the Byzantine reading </w:t>
      </w:r>
      <w:r w:rsidRPr="00F340A6">
        <w:rPr>
          <w:rFonts w:ascii="Times New Roman" w:hAnsi="Times New Roman" w:cs="Times New Roman"/>
          <w:i/>
          <w:iCs/>
          <w:color w:val="0D0D14"/>
          <w:sz w:val="24"/>
          <w:szCs w:val="24"/>
          <w:lang w:bidi="he-IL"/>
        </w:rPr>
        <w:t>ἐξομολογήσεται</w:t>
      </w:r>
      <w:r w:rsidRPr="00F340A6">
        <w:rPr>
          <w:rFonts w:ascii="Times New Roman" w:hAnsi="Times New Roman" w:cs="Times New Roman"/>
          <w:color w:val="0D0D14"/>
          <w:sz w:val="24"/>
          <w:szCs w:val="24"/>
          <w:lang w:bidi="he-IL"/>
        </w:rPr>
        <w:t xml:space="preserve"> (future indicative, “will confess”).</w:t>
      </w:r>
      <w:r w:rsidR="00841FE5">
        <w:rPr>
          <w:rStyle w:val="FootnoteReference"/>
          <w:rFonts w:ascii="Times New Roman" w:hAnsi="Times New Roman" w:cs="Times New Roman"/>
          <w:color w:val="0D0D14"/>
          <w:sz w:val="24"/>
          <w:szCs w:val="24"/>
          <w:lang w:bidi="he-IL"/>
        </w:rPr>
        <w:footnoteReference w:id="27"/>
      </w:r>
    </w:p>
    <w:p w14:paraId="7529E14D" w14:textId="77777777" w:rsidR="00841FE5" w:rsidRDefault="00CE42D7" w:rsidP="00D650E7">
      <w:pPr>
        <w:autoSpaceDE w:val="0"/>
        <w:autoSpaceDN w:val="0"/>
        <w:adjustRightInd w:val="0"/>
        <w:spacing w:before="360" w:after="0" w:line="480" w:lineRule="auto"/>
        <w:jc w:val="center"/>
        <w:rPr>
          <w:rFonts w:ascii="Times New Roman" w:hAnsi="Times New Roman" w:cs="Times New Roman"/>
          <w:b/>
          <w:bCs/>
          <w:color w:val="0D0D14"/>
          <w:sz w:val="24"/>
          <w:szCs w:val="24"/>
          <w:lang w:eastAsia="zh-TW" w:bidi="he-IL"/>
        </w:rPr>
      </w:pPr>
      <w:r w:rsidRPr="00F340A6">
        <w:rPr>
          <w:rFonts w:ascii="Times New Roman" w:hAnsi="Times New Roman" w:cs="Times New Roman"/>
          <w:b/>
          <w:bCs/>
          <w:color w:val="0D0D14"/>
          <w:sz w:val="24"/>
          <w:szCs w:val="24"/>
          <w:lang w:bidi="he-IL"/>
        </w:rPr>
        <w:t>Word Studies</w:t>
      </w:r>
    </w:p>
    <w:p w14:paraId="6B90F814" w14:textId="0F31662F"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eastAsia="zh-TW" w:bidi="he-IL"/>
        </w:rPr>
      </w:pPr>
      <w:r w:rsidRPr="00D650E7">
        <w:rPr>
          <w:rFonts w:ascii="Times New Roman" w:hAnsi="Times New Roman" w:cs="Times New Roman"/>
          <w:color w:val="0D0D14"/>
          <w:sz w:val="24"/>
          <w:szCs w:val="24"/>
          <w:lang w:bidi="he-IL"/>
        </w:rPr>
        <w:t>παράκλησις</w:t>
      </w:r>
    </w:p>
    <w:p w14:paraId="3389F633" w14:textId="3441F9D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noun παράκλησις (</w:t>
      </w:r>
      <w:r w:rsidRPr="00F340A6">
        <w:rPr>
          <w:rFonts w:ascii="Times New Roman" w:hAnsi="Times New Roman" w:cs="Times New Roman"/>
          <w:i/>
          <w:iCs/>
          <w:color w:val="0D0D14"/>
          <w:sz w:val="24"/>
          <w:szCs w:val="24"/>
          <w:lang w:bidi="he-IL"/>
        </w:rPr>
        <w:t>paráklēsis</w:t>
      </w:r>
      <w:r w:rsidRPr="00F340A6">
        <w:rPr>
          <w:rFonts w:ascii="Times New Roman" w:hAnsi="Times New Roman" w:cs="Times New Roman"/>
          <w:color w:val="0D0D14"/>
          <w:sz w:val="24"/>
          <w:szCs w:val="24"/>
          <w:lang w:bidi="he-IL"/>
        </w:rPr>
        <w:t xml:space="preserve">) in Philippians 2:1 strongly influences Paul’s plea for unity in Christ. Because the word spans the meanings of </w:t>
      </w:r>
      <w:r w:rsidRPr="00F340A6">
        <w:rPr>
          <w:rFonts w:ascii="Times New Roman" w:hAnsi="Times New Roman" w:cs="Times New Roman"/>
          <w:i/>
          <w:iCs/>
          <w:color w:val="0D0D14"/>
          <w:sz w:val="24"/>
          <w:szCs w:val="24"/>
          <w:lang w:bidi="he-IL"/>
        </w:rPr>
        <w:t>exhortation</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comfort</w:t>
      </w:r>
      <w:r w:rsidRPr="00F340A6">
        <w:rPr>
          <w:rFonts w:ascii="Times New Roman" w:hAnsi="Times New Roman" w:cs="Times New Roman"/>
          <w:color w:val="0D0D14"/>
          <w:sz w:val="24"/>
          <w:szCs w:val="24"/>
          <w:lang w:bidi="he-IL"/>
        </w:rPr>
        <w:t>, determining Paul’s nuance sets the tone for the rest of the passage. It derives from the verb παρακαλέω, a compound of παρά (“beside”) and καλέω (“to call”). The root conveys the idea of calling someone to one’s side or summoning for assistance.</w:t>
      </w:r>
      <w:r w:rsidR="009305F5">
        <w:rPr>
          <w:rStyle w:val="FootnoteReference"/>
          <w:rFonts w:ascii="Times New Roman" w:hAnsi="Times New Roman" w:cs="Times New Roman"/>
          <w:color w:val="0D0D14"/>
          <w:sz w:val="24"/>
          <w:szCs w:val="24"/>
          <w:lang w:bidi="he-IL"/>
        </w:rPr>
        <w:footnoteReference w:id="28"/>
      </w:r>
    </w:p>
    <w:p w14:paraId="4EB6E1C3" w14:textId="1D54A25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According to LSJ, the earliest usage of παράκλησις primarily denoted a call to aid, as the root suggests, especially in legal and civic contexts.</w:t>
      </w:r>
      <w:r w:rsidR="009305F5">
        <w:rPr>
          <w:rStyle w:val="FootnoteReference"/>
          <w:rFonts w:ascii="Times New Roman" w:hAnsi="Times New Roman" w:cs="Times New Roman"/>
          <w:color w:val="0D0D14"/>
          <w:sz w:val="24"/>
          <w:szCs w:val="24"/>
          <w:lang w:bidi="he-IL"/>
        </w:rPr>
        <w:footnoteReference w:id="29"/>
      </w:r>
      <w:r w:rsidRPr="00F340A6">
        <w:rPr>
          <w:rFonts w:ascii="Times New Roman" w:hAnsi="Times New Roman" w:cs="Times New Roman"/>
          <w:color w:val="0D0D14"/>
          <w:sz w:val="24"/>
          <w:szCs w:val="24"/>
          <w:lang w:bidi="he-IL"/>
        </w:rPr>
        <w:t xml:space="preserve"> The term could also </w:t>
      </w:r>
      <w:r w:rsidRPr="00F340A6">
        <w:rPr>
          <w:rFonts w:ascii="Times New Roman" w:hAnsi="Times New Roman" w:cs="Times New Roman"/>
          <w:color w:val="0D0D14"/>
          <w:sz w:val="24"/>
          <w:szCs w:val="24"/>
          <w:lang w:bidi="he-IL"/>
        </w:rPr>
        <w:lastRenderedPageBreak/>
        <w:t>describe an appeal on behalf of another or an invocation of the gods in religious language.</w:t>
      </w:r>
      <w:r w:rsidR="009305F5">
        <w:rPr>
          <w:rStyle w:val="FootnoteReference"/>
          <w:rFonts w:ascii="Times New Roman" w:hAnsi="Times New Roman" w:cs="Times New Roman"/>
          <w:color w:val="0D0D14"/>
          <w:sz w:val="24"/>
          <w:szCs w:val="24"/>
          <w:lang w:bidi="he-IL"/>
        </w:rPr>
        <w:footnoteReference w:id="30"/>
      </w:r>
      <w:r w:rsidRPr="00F340A6">
        <w:rPr>
          <w:rFonts w:ascii="Times New Roman" w:hAnsi="Times New Roman" w:cs="Times New Roman"/>
          <w:color w:val="0D0D14"/>
          <w:sz w:val="24"/>
          <w:szCs w:val="24"/>
          <w:lang w:bidi="he-IL"/>
        </w:rPr>
        <w:t xml:space="preserve"> The classical sense, therefore, portrays a formal and earnest plea</w:t>
      </w:r>
      <w:r w:rsidR="009305F5">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human or divine</w:t>
      </w:r>
      <w:r w:rsidR="009305F5">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before the term came to express the Koine ideas of exhortation and comfort.</w:t>
      </w:r>
    </w:p>
    <w:p w14:paraId="58FFCA82" w14:textId="60D305C0"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παράκλησις develops the meanings of </w:t>
      </w:r>
      <w:r w:rsidRPr="00F340A6">
        <w:rPr>
          <w:rFonts w:ascii="Times New Roman" w:hAnsi="Times New Roman" w:cs="Times New Roman"/>
          <w:i/>
          <w:iCs/>
          <w:color w:val="0D0D14"/>
          <w:sz w:val="24"/>
          <w:szCs w:val="24"/>
          <w:lang w:bidi="he-IL"/>
        </w:rPr>
        <w:t>exhortation</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comfort</w:t>
      </w:r>
      <w:r w:rsidRPr="00F340A6">
        <w:rPr>
          <w:rFonts w:ascii="Times New Roman" w:hAnsi="Times New Roman" w:cs="Times New Roman"/>
          <w:color w:val="0D0D14"/>
          <w:sz w:val="24"/>
          <w:szCs w:val="24"/>
          <w:lang w:bidi="he-IL"/>
        </w:rPr>
        <w:t xml:space="preserve"> in the Septuagint, appearing most frequently in Isaiah (28:29; 30:7; 57:18; 66:11) and Jeremiah 16:7. Depending on context, the noun can denote either moral exhortation (1 Macc 10:24) or emotional consolation (Job 21:2),</w:t>
      </w:r>
      <w:r w:rsidR="009305F5">
        <w:rPr>
          <w:rStyle w:val="FootnoteReference"/>
          <w:rFonts w:ascii="Times New Roman" w:hAnsi="Times New Roman" w:cs="Times New Roman"/>
          <w:color w:val="0D0D14"/>
          <w:sz w:val="24"/>
          <w:szCs w:val="24"/>
          <w:lang w:bidi="he-IL"/>
        </w:rPr>
        <w:footnoteReference w:id="31"/>
      </w:r>
      <w:r w:rsidRPr="00F340A6">
        <w:rPr>
          <w:rFonts w:ascii="Times New Roman" w:hAnsi="Times New Roman" w:cs="Times New Roman"/>
          <w:color w:val="0D0D14"/>
          <w:sz w:val="24"/>
          <w:szCs w:val="24"/>
          <w:lang w:bidi="he-IL"/>
        </w:rPr>
        <w:t xml:space="preserve"> thus revealing a major semantic shift from the formal plea of the classical period to the divine consolation that characterizes post-exilic faith.</w:t>
      </w:r>
    </w:p>
    <w:p w14:paraId="32D98809" w14:textId="2AD8763D"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non-biblical Koine Greek, the noun still retains its classical sense of “calling to one’s side” or “summons,”</w:t>
      </w:r>
      <w:r w:rsidR="009305F5">
        <w:rPr>
          <w:rStyle w:val="FootnoteReference"/>
          <w:rFonts w:ascii="Times New Roman" w:hAnsi="Times New Roman" w:cs="Times New Roman"/>
          <w:color w:val="0D0D14"/>
          <w:sz w:val="24"/>
          <w:szCs w:val="24"/>
          <w:lang w:bidi="he-IL"/>
        </w:rPr>
        <w:footnoteReference w:id="32"/>
      </w:r>
      <w:r w:rsidRPr="00F340A6">
        <w:rPr>
          <w:rFonts w:ascii="Times New Roman" w:hAnsi="Times New Roman" w:cs="Times New Roman"/>
          <w:color w:val="0D0D14"/>
          <w:sz w:val="24"/>
          <w:szCs w:val="24"/>
          <w:lang w:bidi="he-IL"/>
        </w:rPr>
        <w:t xml:space="preserve"> but its usage broadens considerably. Schmitz observes that in Hellenistic Greek the term came to express both beseeching and exhortation, especially in civic and military contexts where morale was essential.</w:t>
      </w:r>
      <w:r w:rsidR="009305F5">
        <w:rPr>
          <w:rStyle w:val="FootnoteReference"/>
          <w:rFonts w:ascii="Times New Roman" w:hAnsi="Times New Roman" w:cs="Times New Roman"/>
          <w:color w:val="0D0D14"/>
          <w:sz w:val="24"/>
          <w:szCs w:val="24"/>
          <w:lang w:bidi="he-IL"/>
        </w:rPr>
        <w:footnoteReference w:id="33"/>
      </w:r>
      <w:r w:rsidRPr="00F340A6">
        <w:rPr>
          <w:rFonts w:ascii="Times New Roman" w:hAnsi="Times New Roman" w:cs="Times New Roman"/>
          <w:color w:val="0D0D14"/>
          <w:sz w:val="24"/>
          <w:szCs w:val="24"/>
          <w:lang w:bidi="he-IL"/>
        </w:rPr>
        <w:t xml:space="preserve"> In non-Biblical accounts, the nuance of comfort appears only rarely. Schmitz notes, even in these cases, it “is mostly at the level of exhortation or encouragement to those who sorrow,” not in an affectionate care of another's well-being, but in offering pragmatic admonition that benefits the morale of the civic or military unit.</w:t>
      </w:r>
      <w:r w:rsidR="009305F5">
        <w:rPr>
          <w:rStyle w:val="FootnoteReference"/>
          <w:rFonts w:ascii="Times New Roman" w:hAnsi="Times New Roman" w:cs="Times New Roman"/>
          <w:color w:val="0D0D14"/>
          <w:sz w:val="24"/>
          <w:szCs w:val="24"/>
          <w:lang w:bidi="he-IL"/>
        </w:rPr>
        <w:footnoteReference w:id="34"/>
      </w:r>
      <w:r w:rsidRPr="00F340A6">
        <w:rPr>
          <w:rFonts w:ascii="Times New Roman" w:hAnsi="Times New Roman" w:cs="Times New Roman"/>
          <w:color w:val="0D0D14"/>
          <w:sz w:val="24"/>
          <w:szCs w:val="24"/>
          <w:lang w:bidi="he-IL"/>
        </w:rPr>
        <w:t xml:space="preserve"> BDAG confirms this range of meanings: “encouragement, appeal, exhortation, comfort, and consolation.”</w:t>
      </w:r>
      <w:r w:rsidR="009305F5">
        <w:rPr>
          <w:rStyle w:val="FootnoteReference"/>
          <w:rFonts w:ascii="Times New Roman" w:hAnsi="Times New Roman" w:cs="Times New Roman"/>
          <w:color w:val="0D0D14"/>
          <w:sz w:val="24"/>
          <w:szCs w:val="24"/>
          <w:lang w:bidi="he-IL"/>
        </w:rPr>
        <w:footnoteReference w:id="35"/>
      </w:r>
    </w:p>
    <w:p w14:paraId="0921D14C" w14:textId="553F2220"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When limited to the confines of the New Testament, and then especially to Paul, παράκλησις maintains its fundamental meaning, "encouragement," while gaining the pastoral nuance of comfort. The classical sense of “summons” is not used. Schmitz remarks that it “is seldom used for calling on God or the risen Christ in prayer.”</w:t>
      </w:r>
      <w:r w:rsidR="009305F5">
        <w:rPr>
          <w:rStyle w:val="FootnoteReference"/>
          <w:rFonts w:ascii="Times New Roman" w:hAnsi="Times New Roman" w:cs="Times New Roman"/>
          <w:color w:val="0D0D14"/>
          <w:sz w:val="24"/>
          <w:szCs w:val="24"/>
          <w:lang w:bidi="he-IL"/>
        </w:rPr>
        <w:footnoteReference w:id="36"/>
      </w:r>
      <w:r w:rsidRPr="00F340A6">
        <w:rPr>
          <w:rFonts w:ascii="Times New Roman" w:hAnsi="Times New Roman" w:cs="Times New Roman"/>
          <w:color w:val="0D0D14"/>
          <w:sz w:val="24"/>
          <w:szCs w:val="24"/>
          <w:lang w:bidi="he-IL"/>
        </w:rPr>
        <w:t xml:space="preserve"> BDAG identifies two possible meanings relevant here: </w:t>
      </w:r>
      <w:r w:rsidRPr="00F340A6">
        <w:rPr>
          <w:rFonts w:ascii="Times New Roman" w:hAnsi="Times New Roman" w:cs="Times New Roman"/>
          <w:i/>
          <w:iCs/>
          <w:color w:val="0D0D14"/>
          <w:sz w:val="24"/>
          <w:szCs w:val="24"/>
          <w:lang w:bidi="he-IL"/>
        </w:rPr>
        <w:t>exhortation</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consolation</w:t>
      </w:r>
      <w:r w:rsidRPr="00F340A6">
        <w:rPr>
          <w:rFonts w:ascii="Times New Roman" w:hAnsi="Times New Roman" w:cs="Times New Roman"/>
          <w:color w:val="0D0D14"/>
          <w:sz w:val="24"/>
          <w:szCs w:val="24"/>
          <w:lang w:bidi="he-IL"/>
        </w:rPr>
        <w:t xml:space="preserve">. The more formal sense of “request” or “summons” (meaning 2 in BDAG) is grammatically and contextually impossible in Philippians 2:1, as discussed in the syntax section of this paper. In Paul’s letters, the term frequently conveys </w:t>
      </w:r>
      <w:r w:rsidRPr="00F340A6">
        <w:rPr>
          <w:rFonts w:ascii="Times New Roman" w:hAnsi="Times New Roman" w:cs="Times New Roman"/>
          <w:i/>
          <w:iCs/>
          <w:color w:val="0D0D14"/>
          <w:sz w:val="24"/>
          <w:szCs w:val="24"/>
          <w:lang w:bidi="he-IL"/>
        </w:rPr>
        <w:t>encouragement</w:t>
      </w:r>
      <w:r w:rsidRPr="00F340A6">
        <w:rPr>
          <w:rFonts w:ascii="Times New Roman" w:hAnsi="Times New Roman" w:cs="Times New Roman"/>
          <w:color w:val="0D0D14"/>
          <w:sz w:val="24"/>
          <w:szCs w:val="24"/>
          <w:lang w:bidi="he-IL"/>
        </w:rPr>
        <w:t xml:space="preserve"> or </w:t>
      </w:r>
      <w:r w:rsidRPr="00F340A6">
        <w:rPr>
          <w:rFonts w:ascii="Times New Roman" w:hAnsi="Times New Roman" w:cs="Times New Roman"/>
          <w:i/>
          <w:iCs/>
          <w:color w:val="0D0D14"/>
          <w:sz w:val="24"/>
          <w:szCs w:val="24"/>
          <w:lang w:bidi="he-IL"/>
        </w:rPr>
        <w:t>exhortation</w:t>
      </w:r>
      <w:r w:rsidRPr="00F340A6">
        <w:rPr>
          <w:rFonts w:ascii="Times New Roman" w:hAnsi="Times New Roman" w:cs="Times New Roman"/>
          <w:color w:val="0D0D14"/>
          <w:sz w:val="24"/>
          <w:szCs w:val="24"/>
          <w:lang w:bidi="he-IL"/>
        </w:rPr>
        <w:t xml:space="preserve"> toward faith and godliness (Rom 15:4–5; 1 Cor 14:3; 1 Thess 2:3) and equally denotes </w:t>
      </w:r>
      <w:r w:rsidRPr="00F340A6">
        <w:rPr>
          <w:rFonts w:ascii="Times New Roman" w:hAnsi="Times New Roman" w:cs="Times New Roman"/>
          <w:i/>
          <w:iCs/>
          <w:color w:val="0D0D14"/>
          <w:sz w:val="24"/>
          <w:szCs w:val="24"/>
          <w:lang w:bidi="he-IL"/>
        </w:rPr>
        <w:t>comfort</w:t>
      </w:r>
      <w:r w:rsidRPr="00F340A6">
        <w:rPr>
          <w:rFonts w:ascii="Times New Roman" w:hAnsi="Times New Roman" w:cs="Times New Roman"/>
          <w:color w:val="0D0D14"/>
          <w:sz w:val="24"/>
          <w:szCs w:val="24"/>
          <w:lang w:bidi="he-IL"/>
        </w:rPr>
        <w:t xml:space="preserve"> or </w:t>
      </w:r>
      <w:r w:rsidRPr="00F340A6">
        <w:rPr>
          <w:rFonts w:ascii="Times New Roman" w:hAnsi="Times New Roman" w:cs="Times New Roman"/>
          <w:i/>
          <w:iCs/>
          <w:color w:val="0D0D14"/>
          <w:sz w:val="24"/>
          <w:szCs w:val="24"/>
          <w:lang w:bidi="he-IL"/>
        </w:rPr>
        <w:t>consolation</w:t>
      </w:r>
      <w:r w:rsidRPr="00F340A6">
        <w:rPr>
          <w:rFonts w:ascii="Times New Roman" w:hAnsi="Times New Roman" w:cs="Times New Roman"/>
          <w:color w:val="0D0D14"/>
          <w:sz w:val="24"/>
          <w:szCs w:val="24"/>
          <w:lang w:bidi="he-IL"/>
        </w:rPr>
        <w:t xml:space="preserve"> (2 Cor 1:3–7; 7:4, 7; 2 Thess 2:16; Phlm 7).</w:t>
      </w:r>
      <w:r w:rsidR="00AB6FE5">
        <w:rPr>
          <w:rStyle w:val="FootnoteReference"/>
          <w:rFonts w:ascii="Times New Roman" w:hAnsi="Times New Roman" w:cs="Times New Roman"/>
          <w:color w:val="0D0D14"/>
          <w:sz w:val="24"/>
          <w:szCs w:val="24"/>
          <w:lang w:bidi="he-IL"/>
        </w:rPr>
        <w:footnoteReference w:id="37"/>
      </w:r>
      <w:r w:rsidRPr="00F340A6">
        <w:rPr>
          <w:rFonts w:ascii="Times New Roman" w:hAnsi="Times New Roman" w:cs="Times New Roman"/>
          <w:color w:val="0D0D14"/>
          <w:sz w:val="24"/>
          <w:szCs w:val="24"/>
          <w:lang w:bidi="he-IL"/>
        </w:rPr>
        <w:t xml:space="preserve"> Louw-Nida places παράκλησις within the semantic range of “encouraging and comforting.”</w:t>
      </w:r>
      <w:r w:rsidR="00AB6FE5">
        <w:rPr>
          <w:rStyle w:val="FootnoteReference"/>
          <w:rFonts w:ascii="Times New Roman" w:hAnsi="Times New Roman" w:cs="Times New Roman"/>
          <w:color w:val="0D0D14"/>
          <w:sz w:val="24"/>
          <w:szCs w:val="24"/>
          <w:lang w:bidi="he-IL"/>
        </w:rPr>
        <w:footnoteReference w:id="38"/>
      </w:r>
      <w:r w:rsidRPr="00F340A6">
        <w:rPr>
          <w:rFonts w:ascii="Times New Roman" w:hAnsi="Times New Roman" w:cs="Times New Roman"/>
          <w:color w:val="0D0D14"/>
          <w:sz w:val="24"/>
          <w:szCs w:val="24"/>
          <w:lang w:bidi="he-IL"/>
        </w:rPr>
        <w:t xml:space="preserve"> Thus, in the New Testament, the word conveys both a call to perseverance in faith and the comfort extended to those suffering for Christ’s sake—united in the dual function of Gospel exhortation and consolation.</w:t>
      </w:r>
    </w:p>
    <w:p w14:paraId="1659E595" w14:textId="78B7BE4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This analysis concludes that παράκλησις is best translated as </w:t>
      </w:r>
      <w:r w:rsidRPr="00F340A6">
        <w:rPr>
          <w:rFonts w:ascii="Times New Roman" w:hAnsi="Times New Roman" w:cs="Times New Roman"/>
          <w:i/>
          <w:iCs/>
          <w:color w:val="0D0D14"/>
          <w:sz w:val="24"/>
          <w:szCs w:val="24"/>
          <w:lang w:bidi="he-IL"/>
        </w:rPr>
        <w:t>encouragement</w:t>
      </w:r>
      <w:r w:rsidRPr="00F340A6">
        <w:rPr>
          <w:rFonts w:ascii="Times New Roman" w:hAnsi="Times New Roman" w:cs="Times New Roman"/>
          <w:color w:val="0D0D14"/>
          <w:sz w:val="24"/>
          <w:szCs w:val="24"/>
          <w:lang w:bidi="he-IL"/>
        </w:rPr>
        <w:t xml:space="preserve">, emphasizing </w:t>
      </w:r>
      <w:r w:rsidRPr="00F340A6">
        <w:rPr>
          <w:rFonts w:ascii="Times New Roman" w:hAnsi="Times New Roman" w:cs="Times New Roman"/>
          <w:i/>
          <w:iCs/>
          <w:color w:val="0D0D14"/>
          <w:sz w:val="24"/>
          <w:szCs w:val="24"/>
          <w:lang w:bidi="he-IL"/>
        </w:rPr>
        <w:t>encouragement/exhortation</w:t>
      </w:r>
      <w:r w:rsidRPr="00F340A6">
        <w:rPr>
          <w:rFonts w:ascii="Times New Roman" w:hAnsi="Times New Roman" w:cs="Times New Roman"/>
          <w:color w:val="0D0D14"/>
          <w:sz w:val="24"/>
          <w:szCs w:val="24"/>
          <w:lang w:bidi="he-IL"/>
        </w:rPr>
        <w:t xml:space="preserve"> as the preferred sense. The term is immediately followed by παραμύθιον, which can be translated as, </w:t>
      </w:r>
      <w:r w:rsidRPr="00F340A6">
        <w:rPr>
          <w:rFonts w:ascii="Times New Roman" w:hAnsi="Times New Roman" w:cs="Times New Roman"/>
          <w:i/>
          <w:iCs/>
          <w:color w:val="0D0D14"/>
          <w:sz w:val="24"/>
          <w:szCs w:val="24"/>
          <w:lang w:bidi="he-IL"/>
        </w:rPr>
        <w:t>admonition</w:t>
      </w:r>
      <w:r w:rsidRPr="00F340A6">
        <w:rPr>
          <w:rFonts w:ascii="Times New Roman" w:hAnsi="Times New Roman" w:cs="Times New Roman"/>
          <w:color w:val="0D0D14"/>
          <w:sz w:val="24"/>
          <w:szCs w:val="24"/>
          <w:lang w:bidi="he-IL"/>
        </w:rPr>
        <w:t xml:space="preserve">, though TDNT notes it predominantly means </w:t>
      </w:r>
      <w:r w:rsidRPr="00F340A6">
        <w:rPr>
          <w:rFonts w:ascii="Times New Roman" w:hAnsi="Times New Roman" w:cs="Times New Roman"/>
          <w:i/>
          <w:iCs/>
          <w:color w:val="0D0D14"/>
          <w:sz w:val="24"/>
          <w:szCs w:val="24"/>
          <w:lang w:bidi="he-IL"/>
        </w:rPr>
        <w:t xml:space="preserve">comfort </w:t>
      </w:r>
      <w:r w:rsidRPr="00F340A6">
        <w:rPr>
          <w:rFonts w:ascii="Times New Roman" w:hAnsi="Times New Roman" w:cs="Times New Roman"/>
          <w:color w:val="0D0D14"/>
          <w:sz w:val="24"/>
          <w:szCs w:val="24"/>
          <w:lang w:bidi="he-IL"/>
        </w:rPr>
        <w:t>in most cases.</w:t>
      </w:r>
      <w:r w:rsidR="00AB6FE5">
        <w:rPr>
          <w:rStyle w:val="FootnoteReference"/>
          <w:rFonts w:ascii="Times New Roman" w:hAnsi="Times New Roman" w:cs="Times New Roman"/>
          <w:color w:val="0D0D14"/>
          <w:sz w:val="24"/>
          <w:szCs w:val="24"/>
          <w:lang w:bidi="he-IL"/>
        </w:rPr>
        <w:footnoteReference w:id="39"/>
      </w:r>
      <w:r w:rsidRPr="00F340A6">
        <w:rPr>
          <w:rFonts w:ascii="Times New Roman" w:hAnsi="Times New Roman" w:cs="Times New Roman"/>
          <w:color w:val="0D0D14"/>
          <w:sz w:val="24"/>
          <w:szCs w:val="24"/>
          <w:lang w:bidi="he-IL"/>
        </w:rPr>
        <w:t xml:space="preserve"> Paul’s pairing of these near-synonyms is </w:t>
      </w:r>
      <w:r w:rsidRPr="00F340A6">
        <w:rPr>
          <w:rFonts w:ascii="Times New Roman" w:hAnsi="Times New Roman" w:cs="Times New Roman"/>
          <w:color w:val="0D0D14"/>
          <w:sz w:val="24"/>
          <w:szCs w:val="24"/>
          <w:lang w:bidi="he-IL"/>
        </w:rPr>
        <w:lastRenderedPageBreak/>
        <w:t xml:space="preserve">likely deliberate, creating semantic overlap. Within this context, </w:t>
      </w:r>
      <w:r w:rsidRPr="00F340A6">
        <w:rPr>
          <w:rFonts w:ascii="Times New Roman" w:hAnsi="Times New Roman" w:cs="Times New Roman"/>
          <w:i/>
          <w:iCs/>
          <w:color w:val="0D0D14"/>
          <w:sz w:val="24"/>
          <w:szCs w:val="24"/>
          <w:lang w:bidi="he-IL"/>
        </w:rPr>
        <w:t>encouragement</w:t>
      </w:r>
      <w:r w:rsidRPr="00F340A6">
        <w:rPr>
          <w:rFonts w:ascii="Times New Roman" w:hAnsi="Times New Roman" w:cs="Times New Roman"/>
          <w:color w:val="0D0D14"/>
          <w:sz w:val="24"/>
          <w:szCs w:val="24"/>
          <w:lang w:bidi="he-IL"/>
        </w:rPr>
        <w:t xml:space="preserve"> best captures the nuance of παράκλησις, conveying the motivating force Paul intends to communicate alongside παραμύθιον.</w:t>
      </w:r>
    </w:p>
    <w:p w14:paraId="67DFC807"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σπλάγχνα</w:t>
      </w:r>
    </w:p>
    <w:p w14:paraId="7E9960E6" w14:textId="3EF4179C"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noun σπλάγχνα (</w:t>
      </w:r>
      <w:r w:rsidRPr="00F340A6">
        <w:rPr>
          <w:rFonts w:ascii="Times New Roman" w:hAnsi="Times New Roman" w:cs="Times New Roman"/>
          <w:i/>
          <w:iCs/>
          <w:color w:val="0D0D14"/>
          <w:sz w:val="24"/>
          <w:szCs w:val="24"/>
          <w:lang w:bidi="he-IL"/>
        </w:rPr>
        <w:t>splánchna</w:t>
      </w:r>
      <w:r w:rsidRPr="00F340A6">
        <w:rPr>
          <w:rFonts w:ascii="Times New Roman" w:hAnsi="Times New Roman" w:cs="Times New Roman"/>
          <w:color w:val="0D0D14"/>
          <w:sz w:val="24"/>
          <w:szCs w:val="24"/>
          <w:lang w:bidi="he-IL"/>
        </w:rPr>
        <w:t>) in Philippians 2:1 literally refers to the internal organs of the body but came to denote the seat of emotion, especially in contexts of love and mercy.</w:t>
      </w:r>
      <w:r w:rsidR="00AB6FE5">
        <w:rPr>
          <w:rStyle w:val="FootnoteReference"/>
          <w:rFonts w:ascii="Times New Roman" w:hAnsi="Times New Roman" w:cs="Times New Roman"/>
          <w:color w:val="0D0D14"/>
          <w:sz w:val="24"/>
          <w:szCs w:val="24"/>
          <w:lang w:bidi="he-IL"/>
        </w:rPr>
        <w:footnoteReference w:id="40"/>
      </w:r>
      <w:r w:rsidRPr="00F340A6">
        <w:rPr>
          <w:rFonts w:ascii="Times New Roman" w:hAnsi="Times New Roman" w:cs="Times New Roman"/>
          <w:color w:val="0D0D14"/>
          <w:sz w:val="24"/>
          <w:szCs w:val="24"/>
          <w:lang w:bidi="he-IL"/>
        </w:rPr>
        <w:t xml:space="preserve"> In pre-Christian literature, σπλάγχνα almost always occurs in the plural and refers to the innards of a sacrifice</w:t>
      </w:r>
      <w:r w:rsidR="00AB6FE5">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such as the heart, liver, lungs, and kidneys</w:t>
      </w:r>
      <w:r w:rsidR="00AB6FE5">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which were set aside at the beginning of a sacrificial meal.</w:t>
      </w:r>
      <w:r w:rsidR="00AB6FE5">
        <w:rPr>
          <w:rStyle w:val="FootnoteReference"/>
          <w:rFonts w:ascii="Times New Roman" w:hAnsi="Times New Roman" w:cs="Times New Roman"/>
          <w:color w:val="0D0D14"/>
          <w:sz w:val="24"/>
          <w:szCs w:val="24"/>
          <w:lang w:bidi="he-IL"/>
        </w:rPr>
        <w:footnoteReference w:id="41"/>
      </w:r>
      <w:r w:rsidRPr="00F340A6">
        <w:rPr>
          <w:rFonts w:ascii="Times New Roman" w:hAnsi="Times New Roman" w:cs="Times New Roman"/>
          <w:color w:val="0D0D14"/>
          <w:sz w:val="24"/>
          <w:szCs w:val="24"/>
          <w:lang w:bidi="he-IL"/>
        </w:rPr>
        <w:t xml:space="preserve"> By the fifth century B.C., the term began to take on figurative meanings, conveying impulsive emotions such as anger and desire.</w:t>
      </w:r>
      <w:r w:rsidR="00AB6FE5">
        <w:rPr>
          <w:rStyle w:val="FootnoteReference"/>
          <w:rFonts w:ascii="Times New Roman" w:hAnsi="Times New Roman" w:cs="Times New Roman"/>
          <w:color w:val="0D0D14"/>
          <w:sz w:val="24"/>
          <w:szCs w:val="24"/>
          <w:lang w:bidi="he-IL"/>
        </w:rPr>
        <w:footnoteReference w:id="42"/>
      </w:r>
      <w:r w:rsidRPr="00F340A6">
        <w:rPr>
          <w:rFonts w:ascii="Times New Roman" w:hAnsi="Times New Roman" w:cs="Times New Roman"/>
          <w:color w:val="0D0D14"/>
          <w:sz w:val="24"/>
          <w:szCs w:val="24"/>
          <w:lang w:bidi="he-IL"/>
        </w:rPr>
        <w:t xml:space="preserve"> However, in classical Greek, σπλάγχνα never expressed strong feelings of mercy or pity, as the word was considered too vulgar to represent religious virtue.</w:t>
      </w:r>
      <w:r w:rsidR="00AB6FE5">
        <w:rPr>
          <w:rStyle w:val="FootnoteReference"/>
          <w:rFonts w:ascii="Times New Roman" w:hAnsi="Times New Roman" w:cs="Times New Roman"/>
          <w:color w:val="0D0D14"/>
          <w:sz w:val="24"/>
          <w:szCs w:val="24"/>
          <w:lang w:bidi="he-IL"/>
        </w:rPr>
        <w:footnoteReference w:id="43"/>
      </w:r>
      <w:r w:rsidRPr="00F340A6">
        <w:rPr>
          <w:rFonts w:ascii="Times New Roman" w:hAnsi="Times New Roman" w:cs="Times New Roman"/>
          <w:color w:val="0D0D14"/>
          <w:sz w:val="24"/>
          <w:szCs w:val="24"/>
          <w:lang w:bidi="he-IL"/>
        </w:rPr>
        <w:t xml:space="preserve"> Instead, it conveyed the blunt and base instincts of physical passion, distinct from καρδία, which carried the nobler affections.</w:t>
      </w:r>
      <w:r w:rsidR="00AB6FE5">
        <w:rPr>
          <w:rStyle w:val="FootnoteReference"/>
          <w:rFonts w:ascii="Times New Roman" w:hAnsi="Times New Roman" w:cs="Times New Roman"/>
          <w:color w:val="0D0D14"/>
          <w:sz w:val="24"/>
          <w:szCs w:val="24"/>
          <w:lang w:bidi="he-IL"/>
        </w:rPr>
        <w:footnoteReference w:id="44"/>
      </w:r>
    </w:p>
    <w:p w14:paraId="5D2740E7" w14:textId="7637AC2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The Septuagint (LXX) continues to use σπλάγχνα for the internal organs of humans or animals, but also begins to develop the figurative sense of the term as the seat </w:t>
      </w:r>
      <w:r w:rsidRPr="00F340A6">
        <w:rPr>
          <w:rFonts w:ascii="Times New Roman" w:hAnsi="Times New Roman" w:cs="Times New Roman"/>
          <w:color w:val="0D0D14"/>
          <w:sz w:val="24"/>
          <w:szCs w:val="24"/>
          <w:lang w:bidi="he-IL"/>
        </w:rPr>
        <w:lastRenderedPageBreak/>
        <w:t>of human emotion.</w:t>
      </w:r>
      <w:r w:rsidR="00AB6FE5">
        <w:rPr>
          <w:rStyle w:val="FootnoteReference"/>
          <w:rFonts w:ascii="Times New Roman" w:hAnsi="Times New Roman" w:cs="Times New Roman"/>
          <w:color w:val="0D0D14"/>
          <w:sz w:val="24"/>
          <w:szCs w:val="24"/>
          <w:lang w:bidi="he-IL"/>
        </w:rPr>
        <w:footnoteReference w:id="45"/>
      </w:r>
      <w:r w:rsidRPr="00F340A6">
        <w:rPr>
          <w:rFonts w:ascii="Times New Roman" w:hAnsi="Times New Roman" w:cs="Times New Roman"/>
          <w:color w:val="0D0D14"/>
          <w:sz w:val="24"/>
          <w:szCs w:val="24"/>
          <w:lang w:bidi="he-IL"/>
        </w:rPr>
        <w:t xml:space="preserve"> The classical meaning appears in passages such as </w:t>
      </w:r>
      <w:r w:rsidRPr="00F340A6">
        <w:rPr>
          <w:rFonts w:ascii="Times New Roman" w:hAnsi="Times New Roman" w:cs="Times New Roman"/>
          <w:i/>
          <w:iCs/>
          <w:color w:val="0D0D14"/>
          <w:sz w:val="24"/>
          <w:szCs w:val="24"/>
          <w:lang w:bidi="he-IL"/>
        </w:rPr>
        <w:t>4 Maccabees 10:8</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Baruch 2:17</w:t>
      </w:r>
      <w:r w:rsidRPr="00F340A6">
        <w:rPr>
          <w:rFonts w:ascii="Times New Roman" w:hAnsi="Times New Roman" w:cs="Times New Roman"/>
          <w:color w:val="0D0D14"/>
          <w:sz w:val="24"/>
          <w:szCs w:val="24"/>
          <w:lang w:bidi="he-IL"/>
        </w:rPr>
        <w:t xml:space="preserve">, while </w:t>
      </w:r>
      <w:r w:rsidRPr="00F340A6">
        <w:rPr>
          <w:rFonts w:ascii="Times New Roman" w:hAnsi="Times New Roman" w:cs="Times New Roman"/>
          <w:i/>
          <w:iCs/>
          <w:color w:val="0D0D14"/>
          <w:sz w:val="24"/>
          <w:szCs w:val="24"/>
          <w:lang w:bidi="he-IL"/>
        </w:rPr>
        <w:t>Proverbs 12:10</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Wisdom 10:5</w:t>
      </w:r>
      <w:r w:rsidRPr="00F340A6">
        <w:rPr>
          <w:rFonts w:ascii="Times New Roman" w:hAnsi="Times New Roman" w:cs="Times New Roman"/>
          <w:color w:val="0D0D14"/>
          <w:sz w:val="24"/>
          <w:szCs w:val="24"/>
          <w:lang w:bidi="he-IL"/>
        </w:rPr>
        <w:t xml:space="preserve"> demonstrate the developing sense of compassion and love.</w:t>
      </w:r>
      <w:r w:rsidR="00AB6FE5">
        <w:rPr>
          <w:rStyle w:val="FootnoteReference"/>
          <w:rFonts w:ascii="Times New Roman" w:hAnsi="Times New Roman" w:cs="Times New Roman"/>
          <w:color w:val="0D0D14"/>
          <w:sz w:val="24"/>
          <w:szCs w:val="24"/>
          <w:lang w:bidi="he-IL"/>
        </w:rPr>
        <w:footnoteReference w:id="46"/>
      </w:r>
      <w:r w:rsidRPr="00F340A6">
        <w:rPr>
          <w:rFonts w:ascii="Times New Roman" w:hAnsi="Times New Roman" w:cs="Times New Roman"/>
          <w:color w:val="0D0D14"/>
          <w:sz w:val="24"/>
          <w:szCs w:val="24"/>
          <w:lang w:bidi="he-IL"/>
        </w:rPr>
        <w:t xml:space="preserve"> Particularly in </w:t>
      </w:r>
      <w:r w:rsidRPr="00F340A6">
        <w:rPr>
          <w:rFonts w:ascii="Times New Roman" w:hAnsi="Times New Roman" w:cs="Times New Roman"/>
          <w:i/>
          <w:iCs/>
          <w:color w:val="0D0D14"/>
          <w:sz w:val="24"/>
          <w:szCs w:val="24"/>
          <w:lang w:bidi="he-IL"/>
        </w:rPr>
        <w:t>Jeremiah 51:13</w:t>
      </w:r>
      <w:r w:rsidRPr="00F340A6">
        <w:rPr>
          <w:rFonts w:ascii="Times New Roman" w:hAnsi="Times New Roman" w:cs="Times New Roman"/>
          <w:color w:val="0D0D14"/>
          <w:sz w:val="24"/>
          <w:szCs w:val="24"/>
          <w:lang w:bidi="he-IL"/>
        </w:rPr>
        <w:t>, the translators rendered the Hebrew phrase (“in your inward parts”) as εἰς τὰ σπλάγχνα σου, maintaining its anatomical connection while subtly conveying deeper emotions and thoughts.</w:t>
      </w:r>
      <w:r w:rsidR="00AB6FE5">
        <w:rPr>
          <w:rStyle w:val="FootnoteReference"/>
          <w:rFonts w:ascii="Times New Roman" w:hAnsi="Times New Roman" w:cs="Times New Roman"/>
          <w:color w:val="0D0D14"/>
          <w:sz w:val="24"/>
          <w:szCs w:val="24"/>
          <w:lang w:bidi="he-IL"/>
        </w:rPr>
        <w:footnoteReference w:id="47"/>
      </w:r>
    </w:p>
    <w:p w14:paraId="675C858A" w14:textId="71B162CE"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During the Koine period, both literal and figurative meanings are well attested, bridging Hellenistic and Jewish usage. Writers such as Philo and Josephus employ the term for the internal organs of sacrificial victims,</w:t>
      </w:r>
      <w:r w:rsidR="00D0725F">
        <w:rPr>
          <w:rStyle w:val="FootnoteReference"/>
          <w:rFonts w:ascii="Times New Roman" w:hAnsi="Times New Roman" w:cs="Times New Roman"/>
          <w:color w:val="0D0D14"/>
          <w:sz w:val="24"/>
          <w:szCs w:val="24"/>
          <w:lang w:bidi="he-IL"/>
        </w:rPr>
        <w:footnoteReference w:id="48"/>
      </w:r>
      <w:r w:rsidRPr="00F340A6">
        <w:rPr>
          <w:rFonts w:ascii="Times New Roman" w:hAnsi="Times New Roman" w:cs="Times New Roman"/>
          <w:color w:val="0D0D14"/>
          <w:sz w:val="24"/>
          <w:szCs w:val="24"/>
          <w:lang w:bidi="he-IL"/>
        </w:rPr>
        <w:t xml:space="preserve"> while metaphorical uses appear in works such as the </w:t>
      </w:r>
      <w:r w:rsidRPr="00F340A6">
        <w:rPr>
          <w:rFonts w:ascii="Times New Roman" w:hAnsi="Times New Roman" w:cs="Times New Roman"/>
          <w:i/>
          <w:iCs/>
          <w:color w:val="0D0D14"/>
          <w:sz w:val="24"/>
          <w:szCs w:val="24"/>
          <w:lang w:bidi="he-IL"/>
        </w:rPr>
        <w:t>Psalms of Solomon</w:t>
      </w:r>
      <w:r w:rsidRPr="00F340A6">
        <w:rPr>
          <w:rFonts w:ascii="Times New Roman" w:hAnsi="Times New Roman" w:cs="Times New Roman"/>
          <w:color w:val="0D0D14"/>
          <w:sz w:val="24"/>
          <w:szCs w:val="24"/>
          <w:lang w:bidi="he-IL"/>
        </w:rPr>
        <w:t xml:space="preserve"> and the </w:t>
      </w:r>
      <w:r w:rsidRPr="00F340A6">
        <w:rPr>
          <w:rFonts w:ascii="Times New Roman" w:hAnsi="Times New Roman" w:cs="Times New Roman"/>
          <w:i/>
          <w:iCs/>
          <w:color w:val="0D0D14"/>
          <w:sz w:val="24"/>
          <w:szCs w:val="24"/>
          <w:lang w:bidi="he-IL"/>
        </w:rPr>
        <w:t>Testaments of the Twelve Patriarchs</w:t>
      </w:r>
      <w:r w:rsidRPr="00F340A6">
        <w:rPr>
          <w:rFonts w:ascii="Times New Roman" w:hAnsi="Times New Roman" w:cs="Times New Roman"/>
          <w:color w:val="0D0D14"/>
          <w:sz w:val="24"/>
          <w:szCs w:val="24"/>
          <w:lang w:bidi="he-IL"/>
        </w:rPr>
        <w:t>, where it conveys sympathy, love, and mercy.</w:t>
      </w:r>
      <w:r w:rsidR="00D0725F">
        <w:rPr>
          <w:rStyle w:val="FootnoteReference"/>
          <w:rFonts w:ascii="Times New Roman" w:hAnsi="Times New Roman" w:cs="Times New Roman"/>
          <w:color w:val="0D0D14"/>
          <w:sz w:val="24"/>
          <w:szCs w:val="24"/>
          <w:lang w:bidi="he-IL"/>
        </w:rPr>
        <w:footnoteReference w:id="49"/>
      </w:r>
      <w:r w:rsidRPr="00F340A6">
        <w:rPr>
          <w:rFonts w:ascii="Times New Roman" w:hAnsi="Times New Roman" w:cs="Times New Roman"/>
          <w:color w:val="0D0D14"/>
          <w:sz w:val="24"/>
          <w:szCs w:val="24"/>
          <w:lang w:bidi="he-IL"/>
        </w:rPr>
        <w:t xml:space="preserve"> The emergence of this emotional sense within the broader Hellenistic world prepared the way for the New Testament’s theological use of σπλάγχνα to express Christlike compassion.</w:t>
      </w:r>
    </w:p>
    <w:p w14:paraId="25616A8A" w14:textId="61A930B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New Testament, the term reveals a striking development from its classical literal meaning toward expressing divine compassion in Christ. It occurs only once in the Synoptics (</w:t>
      </w:r>
      <w:r w:rsidRPr="00F340A6">
        <w:rPr>
          <w:rFonts w:ascii="Times New Roman" w:hAnsi="Times New Roman" w:cs="Times New Roman"/>
          <w:i/>
          <w:iCs/>
          <w:color w:val="0D0D14"/>
          <w:sz w:val="24"/>
          <w:szCs w:val="24"/>
          <w:lang w:bidi="he-IL"/>
        </w:rPr>
        <w:t>Luke 1:78</w:t>
      </w:r>
      <w:r w:rsidRPr="00F340A6">
        <w:rPr>
          <w:rFonts w:ascii="Times New Roman" w:hAnsi="Times New Roman" w:cs="Times New Roman"/>
          <w:color w:val="0D0D14"/>
          <w:sz w:val="24"/>
          <w:szCs w:val="24"/>
          <w:lang w:bidi="he-IL"/>
        </w:rPr>
        <w:t>), describing God’s “tender mercy” (σπλάγχνα ἐλέους). However, its significance in the New Testament is more fully expressed in the related verb σπλαγχνίζομαι, which portrays the compassion of Jesus.</w:t>
      </w:r>
      <w:r w:rsidR="00D0725F">
        <w:rPr>
          <w:rStyle w:val="FootnoteReference"/>
          <w:rFonts w:ascii="Times New Roman" w:hAnsi="Times New Roman" w:cs="Times New Roman"/>
          <w:color w:val="0D0D14"/>
          <w:sz w:val="24"/>
          <w:szCs w:val="24"/>
          <w:lang w:bidi="he-IL"/>
        </w:rPr>
        <w:footnoteReference w:id="50"/>
      </w:r>
      <w:r w:rsidRPr="00F340A6">
        <w:rPr>
          <w:rFonts w:ascii="Times New Roman" w:hAnsi="Times New Roman" w:cs="Times New Roman"/>
          <w:color w:val="0D0D14"/>
          <w:sz w:val="24"/>
          <w:szCs w:val="24"/>
          <w:lang w:bidi="he-IL"/>
        </w:rPr>
        <w:t xml:space="preserve"> The verb appears repeatedly </w:t>
      </w:r>
      <w:r w:rsidRPr="00F340A6">
        <w:rPr>
          <w:rFonts w:ascii="Times New Roman" w:hAnsi="Times New Roman" w:cs="Times New Roman"/>
          <w:color w:val="0D0D14"/>
          <w:sz w:val="24"/>
          <w:szCs w:val="24"/>
          <w:lang w:bidi="he-IL"/>
        </w:rPr>
        <w:lastRenderedPageBreak/>
        <w:t>(</w:t>
      </w:r>
      <w:r w:rsidRPr="00F340A6">
        <w:rPr>
          <w:rFonts w:ascii="Times New Roman" w:hAnsi="Times New Roman" w:cs="Times New Roman"/>
          <w:i/>
          <w:iCs/>
          <w:color w:val="0D0D14"/>
          <w:sz w:val="24"/>
          <w:szCs w:val="24"/>
          <w:lang w:bidi="he-IL"/>
        </w:rPr>
        <w:t>e.g., Matt. 18:27; Luke 10:33; 15:20</w:t>
      </w:r>
      <w:r w:rsidRPr="00F340A6">
        <w:rPr>
          <w:rFonts w:ascii="Times New Roman" w:hAnsi="Times New Roman" w:cs="Times New Roman"/>
          <w:color w:val="0D0D14"/>
          <w:sz w:val="24"/>
          <w:szCs w:val="24"/>
          <w:lang w:bidi="he-IL"/>
        </w:rPr>
        <w:t>) to depict the divine compassion of the Messiah rather than mere human affection.</w:t>
      </w:r>
      <w:r w:rsidR="00D0725F">
        <w:rPr>
          <w:rStyle w:val="FootnoteReference"/>
          <w:rFonts w:ascii="Times New Roman" w:hAnsi="Times New Roman" w:cs="Times New Roman"/>
          <w:color w:val="0D0D14"/>
          <w:sz w:val="24"/>
          <w:szCs w:val="24"/>
          <w:lang w:bidi="he-IL"/>
        </w:rPr>
        <w:footnoteReference w:id="51"/>
      </w:r>
      <w:r w:rsidRPr="00F340A6">
        <w:rPr>
          <w:rFonts w:ascii="Times New Roman" w:hAnsi="Times New Roman" w:cs="Times New Roman"/>
          <w:color w:val="0D0D14"/>
          <w:sz w:val="24"/>
          <w:szCs w:val="24"/>
          <w:lang w:bidi="he-IL"/>
        </w:rPr>
        <w:t xml:space="preserve"> Because of this usage, σπλάγχνα gains distance from natural emotion and instead expresses the believer’s capacity for Christ-centered love and compassion. Paul continues this trajectory by using σπλάγχνα to describe the mutual experience of Christ’s love within the community of believers, as in </w:t>
      </w:r>
      <w:r w:rsidRPr="00F340A6">
        <w:rPr>
          <w:rFonts w:ascii="Times New Roman" w:hAnsi="Times New Roman" w:cs="Times New Roman"/>
          <w:i/>
          <w:iCs/>
          <w:color w:val="0D0D14"/>
          <w:sz w:val="24"/>
          <w:szCs w:val="24"/>
          <w:lang w:bidi="he-IL"/>
        </w:rPr>
        <w:t>Philemon 7</w:t>
      </w:r>
      <w:r w:rsidRPr="00F340A6">
        <w:rPr>
          <w:rFonts w:ascii="Times New Roman" w:hAnsi="Times New Roman" w:cs="Times New Roman"/>
          <w:color w:val="0D0D14"/>
          <w:sz w:val="24"/>
          <w:szCs w:val="24"/>
          <w:lang w:bidi="he-IL"/>
        </w:rPr>
        <w:t>: “ὅτι τὰ σπλάγχνα τῶν ἁγίων ἀναπέπαυται διὰ σοῦ, ἀδελφέ” (“because the hearts of the saints have been refreshed by you, brother”). This tender affection that Paul finds so refreshing is only possible in Christ Jesus and experienced through participation in His body.</w:t>
      </w:r>
      <w:r w:rsidR="00D0725F">
        <w:rPr>
          <w:rStyle w:val="FootnoteReference"/>
          <w:rFonts w:ascii="Times New Roman" w:hAnsi="Times New Roman" w:cs="Times New Roman"/>
          <w:color w:val="0D0D14"/>
          <w:sz w:val="24"/>
          <w:szCs w:val="24"/>
          <w:lang w:bidi="he-IL"/>
        </w:rPr>
        <w:footnoteReference w:id="52"/>
      </w:r>
    </w:p>
    <w:p w14:paraId="48094B15"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translation “tender affection” best conveys the sense of σπλάγχνα in Philippians 2:1, capturing the depth of emotion Paul attributes to believers “in Christ.” The noun, which literally means “inward parts of the body,” conveys the deepest compassion and concern for another. Paul thus uses its theological sense to call the Philippians to Christ-centered unity expressed in love.</w:t>
      </w:r>
    </w:p>
    <w:p w14:paraId="7F7B08A6"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φρονέω</w:t>
      </w:r>
    </w:p>
    <w:p w14:paraId="7C4AAD78" w14:textId="680352A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verb φρονέω (</w:t>
      </w:r>
      <w:r w:rsidRPr="00F340A6">
        <w:rPr>
          <w:rFonts w:ascii="Times New Roman" w:hAnsi="Times New Roman" w:cs="Times New Roman"/>
          <w:i/>
          <w:iCs/>
          <w:color w:val="0D0D14"/>
          <w:sz w:val="24"/>
          <w:szCs w:val="24"/>
          <w:lang w:bidi="he-IL"/>
        </w:rPr>
        <w:t>phroneō</w:t>
      </w:r>
      <w:r w:rsidRPr="00F340A6">
        <w:rPr>
          <w:rFonts w:ascii="Times New Roman" w:hAnsi="Times New Roman" w:cs="Times New Roman"/>
          <w:color w:val="0D0D14"/>
          <w:sz w:val="24"/>
          <w:szCs w:val="24"/>
          <w:lang w:bidi="he-IL"/>
        </w:rPr>
        <w:t xml:space="preserve">) appears more frequently in Paul’s letters than in those of any other New Testament writer. This analysis counted twenty-six occurrences within the Pauline corpus, marking it as a word of major significance for understanding Paul’s theology. Its seven appearances in Philippians alone form conceptual strands that unite the letter’s themes of joy, humility, and unity. Louw and Nida define φρονέω broadly as </w:t>
      </w:r>
      <w:r w:rsidRPr="00F340A6">
        <w:rPr>
          <w:rFonts w:ascii="Times New Roman" w:hAnsi="Times New Roman" w:cs="Times New Roman"/>
          <w:color w:val="0D0D14"/>
          <w:sz w:val="24"/>
          <w:szCs w:val="24"/>
          <w:lang w:bidi="he-IL"/>
        </w:rPr>
        <w:lastRenderedPageBreak/>
        <w:t>“to think in a particular manner,”</w:t>
      </w:r>
      <w:r w:rsidR="00D0725F">
        <w:rPr>
          <w:rStyle w:val="FootnoteReference"/>
          <w:rFonts w:ascii="Times New Roman" w:hAnsi="Times New Roman" w:cs="Times New Roman"/>
          <w:color w:val="0D0D14"/>
          <w:sz w:val="24"/>
          <w:szCs w:val="24"/>
          <w:lang w:bidi="he-IL"/>
        </w:rPr>
        <w:footnoteReference w:id="53"/>
      </w:r>
      <w:r w:rsidRPr="00F340A6">
        <w:rPr>
          <w:rFonts w:ascii="Times New Roman" w:hAnsi="Times New Roman" w:cs="Times New Roman"/>
          <w:color w:val="0D0D14"/>
          <w:sz w:val="24"/>
          <w:szCs w:val="24"/>
          <w:lang w:bidi="he-IL"/>
        </w:rPr>
        <w:t xml:space="preserve"> yet throughout Philippians, Paul employs the verb to exhort believers toward unity not only in thought but also in attitude and will.</w:t>
      </w:r>
      <w:r w:rsidR="00D0725F">
        <w:rPr>
          <w:rStyle w:val="FootnoteReference"/>
          <w:rFonts w:ascii="Times New Roman" w:hAnsi="Times New Roman" w:cs="Times New Roman"/>
          <w:color w:val="0D0D14"/>
          <w:sz w:val="24"/>
          <w:szCs w:val="24"/>
          <w:lang w:bidi="he-IL"/>
        </w:rPr>
        <w:footnoteReference w:id="54"/>
      </w:r>
    </w:p>
    <w:p w14:paraId="59B04BCA" w14:textId="4A89B491"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classical Greek, the φρήν word group (from which φρονέω is derived) originally referred to the diaphragm, believed to be the seat of human intellect and emotion.</w:t>
      </w:r>
      <w:r w:rsidR="007E2D9B">
        <w:rPr>
          <w:rStyle w:val="FootnoteReference"/>
          <w:rFonts w:ascii="Times New Roman" w:hAnsi="Times New Roman" w:cs="Times New Roman"/>
          <w:color w:val="0D0D14"/>
          <w:sz w:val="24"/>
          <w:szCs w:val="24"/>
          <w:lang w:bidi="he-IL"/>
        </w:rPr>
        <w:footnoteReference w:id="55"/>
      </w:r>
      <w:r w:rsidRPr="00F340A6">
        <w:rPr>
          <w:rFonts w:ascii="Times New Roman" w:hAnsi="Times New Roman" w:cs="Times New Roman"/>
          <w:color w:val="0D0D14"/>
          <w:sz w:val="24"/>
          <w:szCs w:val="24"/>
          <w:lang w:bidi="he-IL"/>
        </w:rPr>
        <w:t xml:space="preserve"> Over time, φρήν shed this physical sense and came to denote the mind, understanding, or consciousness.</w:t>
      </w:r>
      <w:r w:rsidR="007E2D9B">
        <w:rPr>
          <w:rStyle w:val="FootnoteReference"/>
          <w:rFonts w:ascii="Times New Roman" w:hAnsi="Times New Roman" w:cs="Times New Roman"/>
          <w:color w:val="0D0D14"/>
          <w:sz w:val="24"/>
          <w:szCs w:val="24"/>
          <w:lang w:bidi="he-IL"/>
        </w:rPr>
        <w:footnoteReference w:id="56"/>
      </w:r>
      <w:r w:rsidRPr="00F340A6">
        <w:rPr>
          <w:rFonts w:ascii="Times New Roman" w:hAnsi="Times New Roman" w:cs="Times New Roman"/>
          <w:color w:val="0D0D14"/>
          <w:sz w:val="24"/>
          <w:szCs w:val="24"/>
          <w:lang w:bidi="he-IL"/>
        </w:rPr>
        <w:t xml:space="preserve"> Writers such as Aeschylus, Sophocles, and Herodotus used φρονέω to contrast sound thinking with folly (</w:t>
      </w:r>
      <w:r w:rsidRPr="00F340A6">
        <w:rPr>
          <w:rFonts w:ascii="Times New Roman" w:hAnsi="Times New Roman" w:cs="Times New Roman"/>
          <w:i/>
          <w:iCs/>
          <w:color w:val="0D0D14"/>
          <w:sz w:val="24"/>
          <w:szCs w:val="24"/>
          <w:lang w:bidi="he-IL"/>
        </w:rPr>
        <w:t>ἀφροσύνη</w:t>
      </w:r>
      <w:r w:rsidRPr="00F340A6">
        <w:rPr>
          <w:rFonts w:ascii="Times New Roman" w:hAnsi="Times New Roman" w:cs="Times New Roman"/>
          <w:color w:val="0D0D14"/>
          <w:sz w:val="24"/>
          <w:szCs w:val="24"/>
          <w:lang w:bidi="he-IL"/>
        </w:rPr>
        <w:t>), demonstrating that the verb could also carry ethical overtones.</w:t>
      </w:r>
      <w:r w:rsidR="007E2D9B">
        <w:rPr>
          <w:rStyle w:val="FootnoteReference"/>
          <w:rFonts w:ascii="Times New Roman" w:hAnsi="Times New Roman" w:cs="Times New Roman"/>
          <w:color w:val="0D0D14"/>
          <w:sz w:val="24"/>
          <w:szCs w:val="24"/>
          <w:lang w:bidi="he-IL"/>
        </w:rPr>
        <w:footnoteReference w:id="57"/>
      </w:r>
    </w:p>
    <w:p w14:paraId="69F80D4C" w14:textId="02CA2A19"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the Septuagint, φρονέω continues the classical sense of thinking and understanding, though now with stronger moral connotations. The translators frequently used it to render Hebrew verbs of discernment or wisdom, as in </w:t>
      </w:r>
      <w:r w:rsidRPr="00F340A6">
        <w:rPr>
          <w:rFonts w:ascii="Times New Roman" w:hAnsi="Times New Roman" w:cs="Times New Roman"/>
          <w:i/>
          <w:iCs/>
          <w:color w:val="0D0D14"/>
          <w:sz w:val="24"/>
          <w:szCs w:val="24"/>
          <w:lang w:bidi="he-IL"/>
        </w:rPr>
        <w:t>Deuteronomy 32:29</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Zechariah 9:2</w:t>
      </w:r>
      <w:r w:rsidRPr="00F340A6">
        <w:rPr>
          <w:rFonts w:ascii="Times New Roman" w:hAnsi="Times New Roman" w:cs="Times New Roman"/>
          <w:color w:val="0D0D14"/>
          <w:sz w:val="24"/>
          <w:szCs w:val="24"/>
          <w:lang w:bidi="he-IL"/>
        </w:rPr>
        <w:t>, typically with the sense “to be wise.” Negatively, it could describe “simplicity” (</w:t>
      </w:r>
      <w:r w:rsidRPr="00F340A6">
        <w:rPr>
          <w:rFonts w:ascii="Times New Roman" w:hAnsi="Times New Roman" w:cs="Times New Roman"/>
          <w:i/>
          <w:iCs/>
          <w:color w:val="0D0D14"/>
          <w:sz w:val="24"/>
          <w:szCs w:val="24"/>
          <w:lang w:bidi="he-IL"/>
        </w:rPr>
        <w:t>Prov. 1:22</w:t>
      </w:r>
      <w:r w:rsidRPr="00F340A6">
        <w:rPr>
          <w:rFonts w:ascii="Times New Roman" w:hAnsi="Times New Roman" w:cs="Times New Roman"/>
          <w:color w:val="0D0D14"/>
          <w:sz w:val="24"/>
          <w:szCs w:val="24"/>
          <w:lang w:bidi="he-IL"/>
        </w:rPr>
        <w:t>), “acting foolishly” (</w:t>
      </w:r>
      <w:r w:rsidRPr="00F340A6">
        <w:rPr>
          <w:rFonts w:ascii="Times New Roman" w:hAnsi="Times New Roman" w:cs="Times New Roman"/>
          <w:i/>
          <w:iCs/>
          <w:color w:val="0D0D14"/>
          <w:sz w:val="24"/>
          <w:szCs w:val="24"/>
          <w:lang w:bidi="he-IL"/>
        </w:rPr>
        <w:t>Prov. 14:17</w:t>
      </w:r>
      <w:r w:rsidRPr="00F340A6">
        <w:rPr>
          <w:rFonts w:ascii="Times New Roman" w:hAnsi="Times New Roman" w:cs="Times New Roman"/>
          <w:color w:val="0D0D14"/>
          <w:sz w:val="24"/>
          <w:szCs w:val="24"/>
          <w:lang w:bidi="he-IL"/>
        </w:rPr>
        <w:t>), or “wickedness” (</w:t>
      </w:r>
      <w:r w:rsidRPr="00F340A6">
        <w:rPr>
          <w:rFonts w:ascii="Times New Roman" w:hAnsi="Times New Roman" w:cs="Times New Roman"/>
          <w:i/>
          <w:iCs/>
          <w:color w:val="0D0D14"/>
          <w:sz w:val="24"/>
          <w:szCs w:val="24"/>
          <w:lang w:bidi="he-IL"/>
        </w:rPr>
        <w:t>Judg. 20:6</w:t>
      </w:r>
      <w:r w:rsidRPr="00F340A6">
        <w:rPr>
          <w:rFonts w:ascii="Times New Roman" w:hAnsi="Times New Roman" w:cs="Times New Roman"/>
          <w:color w:val="0D0D14"/>
          <w:sz w:val="24"/>
          <w:szCs w:val="24"/>
          <w:lang w:bidi="he-IL"/>
        </w:rPr>
        <w:t>).</w:t>
      </w:r>
      <w:r w:rsidR="007E2D9B">
        <w:rPr>
          <w:rStyle w:val="FootnoteReference"/>
          <w:rFonts w:ascii="Times New Roman" w:hAnsi="Times New Roman" w:cs="Times New Roman"/>
          <w:color w:val="0D0D14"/>
          <w:sz w:val="24"/>
          <w:szCs w:val="24"/>
          <w:lang w:bidi="he-IL"/>
        </w:rPr>
        <w:footnoteReference w:id="58"/>
      </w:r>
      <w:r w:rsidRPr="00F340A6">
        <w:rPr>
          <w:rFonts w:ascii="Times New Roman" w:hAnsi="Times New Roman" w:cs="Times New Roman"/>
          <w:color w:val="0D0D14"/>
          <w:sz w:val="24"/>
          <w:szCs w:val="24"/>
          <w:lang w:bidi="he-IL"/>
        </w:rPr>
        <w:t xml:space="preserve"> Thus, within the LXX, φρονέω begins to bridge the gap between intellectual reasoning and moral orientation, a development that anticipates Paul’s use of the term for ethical and spiritual attitude.</w:t>
      </w:r>
    </w:p>
    <w:p w14:paraId="6C2308CE" w14:textId="2DE1575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In the Koine non-biblical era, φρονέω retained its basic sense of “thinking” or “having an attitude,” but was increasingly used to express moral virtue and the practical concerns of Hellenistic culture.</w:t>
      </w:r>
      <w:r w:rsidR="007E2D9B">
        <w:rPr>
          <w:rStyle w:val="FootnoteReference"/>
          <w:rFonts w:ascii="Times New Roman" w:hAnsi="Times New Roman" w:cs="Times New Roman"/>
          <w:color w:val="0D0D14"/>
          <w:sz w:val="24"/>
          <w:szCs w:val="24"/>
          <w:lang w:bidi="he-IL"/>
        </w:rPr>
        <w:footnoteReference w:id="59"/>
      </w:r>
      <w:r w:rsidRPr="00F340A6">
        <w:rPr>
          <w:rFonts w:ascii="Times New Roman" w:hAnsi="Times New Roman" w:cs="Times New Roman"/>
          <w:color w:val="0D0D14"/>
          <w:sz w:val="24"/>
          <w:szCs w:val="24"/>
          <w:lang w:bidi="he-IL"/>
        </w:rPr>
        <w:t xml:space="preserve"> In Neoplatonism, φρόνησις described the rational wisdom of the soul as it participated in the divine νοῦς, the transcendent intellect.</w:t>
      </w:r>
      <w:r w:rsidR="007E2D9B">
        <w:rPr>
          <w:rStyle w:val="FootnoteReference"/>
          <w:rFonts w:ascii="Times New Roman" w:hAnsi="Times New Roman" w:cs="Times New Roman"/>
          <w:color w:val="0D0D14"/>
          <w:sz w:val="24"/>
          <w:szCs w:val="24"/>
          <w:lang w:bidi="he-IL"/>
        </w:rPr>
        <w:footnoteReference w:id="60"/>
      </w:r>
      <w:r w:rsidRPr="00F340A6">
        <w:rPr>
          <w:rFonts w:ascii="Times New Roman" w:hAnsi="Times New Roman" w:cs="Times New Roman"/>
          <w:color w:val="0D0D14"/>
          <w:sz w:val="24"/>
          <w:szCs w:val="24"/>
          <w:lang w:bidi="he-IL"/>
        </w:rPr>
        <w:t xml:space="preserve"> Here, νοῦς referred to the divine mind itself, while φρόνησις denoted the soul’s rational participation within that divine order.</w:t>
      </w:r>
      <w:r w:rsidR="007E2D9B">
        <w:rPr>
          <w:rStyle w:val="FootnoteReference"/>
          <w:rFonts w:ascii="Times New Roman" w:hAnsi="Times New Roman" w:cs="Times New Roman"/>
          <w:color w:val="0D0D14"/>
          <w:sz w:val="24"/>
          <w:szCs w:val="24"/>
          <w:lang w:bidi="he-IL"/>
        </w:rPr>
        <w:footnoteReference w:id="61"/>
      </w:r>
      <w:r w:rsidRPr="00F340A6">
        <w:rPr>
          <w:rFonts w:ascii="Times New Roman" w:hAnsi="Times New Roman" w:cs="Times New Roman"/>
          <w:color w:val="0D0D14"/>
          <w:sz w:val="24"/>
          <w:szCs w:val="24"/>
          <w:lang w:bidi="he-IL"/>
        </w:rPr>
        <w:t xml:space="preserve"> Even in magical and legal texts, the verb was used to describe the soundness or corruption of the inner person, showing φρονέω had come to represent the rational and moral orientation of the self.</w:t>
      </w:r>
      <w:r w:rsidR="007E2D9B">
        <w:rPr>
          <w:rStyle w:val="FootnoteReference"/>
          <w:rFonts w:ascii="Times New Roman" w:hAnsi="Times New Roman" w:cs="Times New Roman"/>
          <w:color w:val="0D0D14"/>
          <w:sz w:val="24"/>
          <w:szCs w:val="24"/>
          <w:lang w:bidi="he-IL"/>
        </w:rPr>
        <w:footnoteReference w:id="62"/>
      </w:r>
      <w:r w:rsidRPr="00F340A6">
        <w:rPr>
          <w:rFonts w:ascii="Times New Roman" w:hAnsi="Times New Roman" w:cs="Times New Roman"/>
          <w:color w:val="0D0D14"/>
          <w:sz w:val="24"/>
          <w:szCs w:val="24"/>
          <w:lang w:bidi="he-IL"/>
        </w:rPr>
        <w:t xml:space="preserve"> This development anticipates Paul’s later use of the term to describe a rational mindset rooted in Christ.</w:t>
      </w:r>
    </w:p>
    <w:p w14:paraId="1715ABC4" w14:textId="6A54E6B1"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New Testament, φρονέω retains its general meaning of “to think” or “to have an attitude,” but it carries a distinctly moral and volitional emphasis, “to develop an attitude based on careful thought.”</w:t>
      </w:r>
      <w:r w:rsidR="007E2D9B">
        <w:rPr>
          <w:rStyle w:val="FootnoteReference"/>
          <w:rFonts w:ascii="Times New Roman" w:hAnsi="Times New Roman" w:cs="Times New Roman"/>
          <w:color w:val="0D0D14"/>
          <w:sz w:val="24"/>
          <w:szCs w:val="24"/>
          <w:lang w:bidi="he-IL"/>
        </w:rPr>
        <w:footnoteReference w:id="63"/>
      </w:r>
      <w:r w:rsidRPr="00F340A6">
        <w:rPr>
          <w:rFonts w:ascii="Times New Roman" w:hAnsi="Times New Roman" w:cs="Times New Roman"/>
          <w:color w:val="0D0D14"/>
          <w:sz w:val="24"/>
          <w:szCs w:val="24"/>
          <w:lang w:bidi="he-IL"/>
        </w:rPr>
        <w:t xml:space="preserve"> The verb can describe forming an opinion (</w:t>
      </w:r>
      <w:r w:rsidRPr="00F340A6">
        <w:rPr>
          <w:rFonts w:ascii="Times New Roman" w:hAnsi="Times New Roman" w:cs="Times New Roman"/>
          <w:i/>
          <w:iCs/>
          <w:color w:val="0D0D14"/>
          <w:sz w:val="24"/>
          <w:szCs w:val="24"/>
          <w:lang w:bidi="he-IL"/>
        </w:rPr>
        <w:t>1 Cor. 13:11; Gal. 5:10</w:t>
      </w:r>
      <w:r w:rsidRPr="00F340A6">
        <w:rPr>
          <w:rFonts w:ascii="Times New Roman" w:hAnsi="Times New Roman" w:cs="Times New Roman"/>
          <w:color w:val="0D0D14"/>
          <w:sz w:val="24"/>
          <w:szCs w:val="24"/>
          <w:lang w:bidi="he-IL"/>
        </w:rPr>
        <w:t>), but more often it denotes an inner disposition that governs behavior (</w:t>
      </w:r>
      <w:r w:rsidRPr="00F340A6">
        <w:rPr>
          <w:rFonts w:ascii="Times New Roman" w:hAnsi="Times New Roman" w:cs="Times New Roman"/>
          <w:i/>
          <w:iCs/>
          <w:color w:val="0D0D14"/>
          <w:sz w:val="24"/>
          <w:szCs w:val="24"/>
          <w:lang w:bidi="he-IL"/>
        </w:rPr>
        <w:t>Phil. 2:5</w:t>
      </w:r>
      <w:r w:rsidRPr="00F340A6">
        <w:rPr>
          <w:rFonts w:ascii="Times New Roman" w:hAnsi="Times New Roman" w:cs="Times New Roman"/>
          <w:color w:val="0D0D14"/>
          <w:sz w:val="24"/>
          <w:szCs w:val="24"/>
          <w:lang w:bidi="he-IL"/>
        </w:rPr>
        <w:t>).</w:t>
      </w:r>
      <w:r w:rsidR="007E2D9B">
        <w:rPr>
          <w:rStyle w:val="FootnoteReference"/>
          <w:rFonts w:ascii="Times New Roman" w:hAnsi="Times New Roman" w:cs="Times New Roman"/>
          <w:color w:val="0D0D14"/>
          <w:sz w:val="24"/>
          <w:szCs w:val="24"/>
          <w:lang w:bidi="he-IL"/>
        </w:rPr>
        <w:footnoteReference w:id="64"/>
      </w:r>
      <w:r w:rsidRPr="00F340A6">
        <w:rPr>
          <w:rFonts w:ascii="Times New Roman" w:hAnsi="Times New Roman" w:cs="Times New Roman"/>
          <w:color w:val="0D0D14"/>
          <w:sz w:val="24"/>
          <w:szCs w:val="24"/>
          <w:lang w:bidi="he-IL"/>
        </w:rPr>
        <w:t xml:space="preserve"> For Paul, φρονέω reaches its theological summit in Philippians 2:5, where believers are urged to “let this mind be in you which was also in Christ Jesus,” signifying a Christ-shaped pattern of thought and will that transforms the community’s unity and conduct.</w:t>
      </w:r>
    </w:p>
    <w:p w14:paraId="45B7F932" w14:textId="77777777" w:rsidR="00D650E7" w:rsidRDefault="00D650E7" w:rsidP="0044269F">
      <w:pPr>
        <w:autoSpaceDE w:val="0"/>
        <w:autoSpaceDN w:val="0"/>
        <w:adjustRightInd w:val="0"/>
        <w:spacing w:after="0" w:line="480" w:lineRule="auto"/>
        <w:rPr>
          <w:rFonts w:ascii="Times New Roman" w:hAnsi="Times New Roman" w:cs="Times New Roman"/>
          <w:b/>
          <w:bCs/>
          <w:color w:val="0D0D14"/>
          <w:sz w:val="24"/>
          <w:szCs w:val="24"/>
          <w:lang w:bidi="he-IL"/>
        </w:rPr>
      </w:pPr>
    </w:p>
    <w:p w14:paraId="6FD230B9" w14:textId="1073CE24" w:rsidR="00CE42D7" w:rsidRPr="00D650E7" w:rsidRDefault="00CE42D7" w:rsidP="00D650E7">
      <w:pPr>
        <w:autoSpaceDE w:val="0"/>
        <w:autoSpaceDN w:val="0"/>
        <w:adjustRightInd w:val="0"/>
        <w:spacing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lastRenderedPageBreak/>
        <w:t>μορφή</w:t>
      </w:r>
    </w:p>
    <w:p w14:paraId="6DA40F55" w14:textId="0A6B06E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noun μορφή (</w:t>
      </w:r>
      <w:r w:rsidRPr="00F340A6">
        <w:rPr>
          <w:rFonts w:ascii="Times New Roman" w:hAnsi="Times New Roman" w:cs="Times New Roman"/>
          <w:i/>
          <w:iCs/>
          <w:color w:val="0D0D14"/>
          <w:sz w:val="24"/>
          <w:szCs w:val="24"/>
          <w:lang w:bidi="he-IL"/>
        </w:rPr>
        <w:t>morphē</w:t>
      </w:r>
      <w:r w:rsidRPr="00F340A6">
        <w:rPr>
          <w:rFonts w:ascii="Times New Roman" w:hAnsi="Times New Roman" w:cs="Times New Roman"/>
          <w:color w:val="0D0D14"/>
          <w:sz w:val="24"/>
          <w:szCs w:val="24"/>
          <w:lang w:bidi="he-IL"/>
        </w:rPr>
        <w:t xml:space="preserve">), meaning “form,” occurs twice in </w:t>
      </w:r>
      <w:r w:rsidRPr="00F340A6">
        <w:rPr>
          <w:rFonts w:ascii="Times New Roman" w:hAnsi="Times New Roman" w:cs="Times New Roman"/>
          <w:i/>
          <w:iCs/>
          <w:color w:val="0D0D14"/>
          <w:sz w:val="24"/>
          <w:szCs w:val="24"/>
          <w:lang w:bidi="he-IL"/>
        </w:rPr>
        <w:t>Philippians 2:6–7</w:t>
      </w:r>
      <w:r w:rsidRPr="00F340A6">
        <w:rPr>
          <w:rFonts w:ascii="Times New Roman" w:hAnsi="Times New Roman" w:cs="Times New Roman"/>
          <w:color w:val="0D0D14"/>
          <w:sz w:val="24"/>
          <w:szCs w:val="24"/>
          <w:lang w:bidi="he-IL"/>
        </w:rPr>
        <w:t xml:space="preserve"> and plays a crucial role in understanding Paul’s Christology. According to Liddell–Scott–Jones, the term means “form, shape, outward appearance,” and is often used to describe beauty or visible expression.</w:t>
      </w:r>
      <w:r w:rsidR="007E2D9B">
        <w:rPr>
          <w:rStyle w:val="FootnoteReference"/>
          <w:rFonts w:ascii="Times New Roman" w:hAnsi="Times New Roman" w:cs="Times New Roman"/>
          <w:color w:val="0D0D14"/>
          <w:sz w:val="24"/>
          <w:szCs w:val="24"/>
          <w:lang w:bidi="he-IL"/>
        </w:rPr>
        <w:footnoteReference w:id="65"/>
      </w:r>
      <w:r w:rsidRPr="00F340A6">
        <w:rPr>
          <w:rFonts w:ascii="Times New Roman" w:hAnsi="Times New Roman" w:cs="Times New Roman"/>
          <w:color w:val="0D0D14"/>
          <w:sz w:val="24"/>
          <w:szCs w:val="24"/>
          <w:lang w:bidi="he-IL"/>
        </w:rPr>
        <w:t xml:space="preserve"> In the Christ Hymn, however, Paul’s usage is far more nuanced, expressing the reality of Christ’s divine–human nature. Thus, μορφή deserves careful attention as it captures the paradox of the incarnate Son who reveals God by “taking on the form of a servant.”</w:t>
      </w:r>
    </w:p>
    <w:p w14:paraId="49ED1FE5" w14:textId="625B05F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classical Greek literature, μορφή denotes visible shape or figure, referring to “something which may be perceived by the senses” rather than an abstract essence.</w:t>
      </w:r>
      <w:r w:rsidR="00DD53E9">
        <w:rPr>
          <w:rStyle w:val="FootnoteReference"/>
          <w:rFonts w:ascii="Times New Roman" w:hAnsi="Times New Roman" w:cs="Times New Roman"/>
          <w:color w:val="0D0D14"/>
          <w:sz w:val="24"/>
          <w:szCs w:val="24"/>
          <w:lang w:bidi="he-IL"/>
        </w:rPr>
        <w:footnoteReference w:id="66"/>
      </w:r>
      <w:r w:rsidRPr="00F340A6">
        <w:rPr>
          <w:rFonts w:ascii="Times New Roman" w:hAnsi="Times New Roman" w:cs="Times New Roman"/>
          <w:color w:val="0D0D14"/>
          <w:sz w:val="24"/>
          <w:szCs w:val="24"/>
          <w:lang w:bidi="he-IL"/>
        </w:rPr>
        <w:t xml:space="preserve"> When the term appears in Homer, it is used to describe the gods appearing in various forms.</w:t>
      </w:r>
      <w:r w:rsidR="00DD53E9">
        <w:rPr>
          <w:rStyle w:val="FootnoteReference"/>
          <w:rFonts w:ascii="Times New Roman" w:hAnsi="Times New Roman" w:cs="Times New Roman"/>
          <w:color w:val="0D0D14"/>
          <w:sz w:val="24"/>
          <w:szCs w:val="24"/>
          <w:lang w:bidi="he-IL"/>
        </w:rPr>
        <w:footnoteReference w:id="67"/>
      </w:r>
      <w:r w:rsidRPr="00F340A6">
        <w:rPr>
          <w:rFonts w:ascii="Times New Roman" w:hAnsi="Times New Roman" w:cs="Times New Roman"/>
          <w:color w:val="0D0D14"/>
          <w:sz w:val="24"/>
          <w:szCs w:val="24"/>
          <w:lang w:bidi="he-IL"/>
        </w:rPr>
        <w:t xml:space="preserve"> In philosophical contexts, however, μορφή is often equivalent to σχῆμα, though the nuances greatly vary. Johannes Behm reports that during this period μορφή “has no unequivocal and definite sense.”</w:t>
      </w:r>
      <w:r w:rsidR="00DD53E9">
        <w:rPr>
          <w:rStyle w:val="FootnoteReference"/>
          <w:rFonts w:ascii="Times New Roman" w:hAnsi="Times New Roman" w:cs="Times New Roman"/>
          <w:color w:val="0D0D14"/>
          <w:sz w:val="24"/>
          <w:szCs w:val="24"/>
          <w:lang w:bidi="he-IL"/>
        </w:rPr>
        <w:footnoteReference w:id="68"/>
      </w:r>
    </w:p>
    <w:p w14:paraId="3AD355DA" w14:textId="71939A7D"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the Septuagint, the noun retains its usual sense of form or outward appearance (e.g., </w:t>
      </w:r>
      <w:r w:rsidRPr="00F340A6">
        <w:rPr>
          <w:rFonts w:ascii="Times New Roman" w:hAnsi="Times New Roman" w:cs="Times New Roman"/>
          <w:i/>
          <w:iCs/>
          <w:color w:val="0D0D14"/>
          <w:sz w:val="24"/>
          <w:szCs w:val="24"/>
          <w:lang w:bidi="he-IL"/>
        </w:rPr>
        <w:t>Judg. 8:18; Isa. 44:13</w:t>
      </w:r>
      <w:r w:rsidRPr="00F340A6">
        <w:rPr>
          <w:rFonts w:ascii="Times New Roman" w:hAnsi="Times New Roman" w:cs="Times New Roman"/>
          <w:color w:val="0D0D14"/>
          <w:sz w:val="24"/>
          <w:szCs w:val="24"/>
          <w:lang w:bidi="he-IL"/>
        </w:rPr>
        <w:t xml:space="preserve">), but occasionally refers to comeliness or countenance (e.g., </w:t>
      </w:r>
      <w:r w:rsidRPr="00F340A6">
        <w:rPr>
          <w:rFonts w:ascii="Times New Roman" w:hAnsi="Times New Roman" w:cs="Times New Roman"/>
          <w:i/>
          <w:iCs/>
          <w:color w:val="0D0D14"/>
          <w:sz w:val="24"/>
          <w:szCs w:val="24"/>
          <w:lang w:bidi="he-IL"/>
        </w:rPr>
        <w:t>Tobit 1:13; Dan. 5:6</w:t>
      </w:r>
      <w:r w:rsidRPr="00F340A6">
        <w:rPr>
          <w:rFonts w:ascii="Times New Roman" w:hAnsi="Times New Roman" w:cs="Times New Roman"/>
          <w:color w:val="0D0D14"/>
          <w:sz w:val="24"/>
          <w:szCs w:val="24"/>
          <w:lang w:bidi="he-IL"/>
        </w:rPr>
        <w:t>).</w:t>
      </w:r>
      <w:r w:rsidR="00DD53E9">
        <w:rPr>
          <w:rStyle w:val="FootnoteReference"/>
          <w:rFonts w:ascii="Times New Roman" w:hAnsi="Times New Roman" w:cs="Times New Roman"/>
          <w:color w:val="0D0D14"/>
          <w:sz w:val="24"/>
          <w:szCs w:val="24"/>
          <w:lang w:bidi="he-IL"/>
        </w:rPr>
        <w:footnoteReference w:id="69"/>
      </w:r>
      <w:r w:rsidRPr="00F340A6">
        <w:rPr>
          <w:rFonts w:ascii="Times New Roman" w:hAnsi="Times New Roman" w:cs="Times New Roman"/>
          <w:color w:val="0D0D14"/>
          <w:sz w:val="24"/>
          <w:szCs w:val="24"/>
          <w:lang w:bidi="he-IL"/>
        </w:rPr>
        <w:t xml:space="preserve"> Additionally, the LXX begins to add a nuance of human dignity, which prepares for its theological use in the New Testament.</w:t>
      </w:r>
    </w:p>
    <w:p w14:paraId="5891521A" w14:textId="017EBD5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 xml:space="preserve">In non-biblical Koine usage, BDAG notes examples where μορφή denotes essential identity or status expressed outwardly, as in </w:t>
      </w:r>
      <w:r w:rsidRPr="00F340A6">
        <w:rPr>
          <w:rFonts w:ascii="Times New Roman" w:hAnsi="Times New Roman" w:cs="Times New Roman"/>
          <w:i/>
          <w:iCs/>
          <w:color w:val="0D0D14"/>
          <w:sz w:val="24"/>
          <w:szCs w:val="24"/>
          <w:lang w:bidi="he-IL"/>
        </w:rPr>
        <w:t>OGI 383.40–41</w:t>
      </w:r>
      <w:r w:rsidRPr="00F340A6">
        <w:rPr>
          <w:rFonts w:ascii="Times New Roman" w:hAnsi="Times New Roman" w:cs="Times New Roman"/>
          <w:color w:val="0D0D14"/>
          <w:sz w:val="24"/>
          <w:szCs w:val="24"/>
          <w:lang w:bidi="he-IL"/>
        </w:rPr>
        <w:t>, where Antiochus’ body is described as the framework of his μορφή, that is, his identity as a descendant of the gods.</w:t>
      </w:r>
      <w:r w:rsidR="00DD53E9">
        <w:rPr>
          <w:rStyle w:val="FootnoteReference"/>
          <w:rFonts w:ascii="Times New Roman" w:hAnsi="Times New Roman" w:cs="Times New Roman"/>
          <w:color w:val="0D0D14"/>
          <w:sz w:val="24"/>
          <w:szCs w:val="24"/>
          <w:lang w:bidi="he-IL"/>
        </w:rPr>
        <w:footnoteReference w:id="70"/>
      </w:r>
      <w:r w:rsidRPr="00F340A6">
        <w:rPr>
          <w:rFonts w:ascii="Times New Roman" w:hAnsi="Times New Roman" w:cs="Times New Roman"/>
          <w:color w:val="0D0D14"/>
          <w:sz w:val="24"/>
          <w:szCs w:val="24"/>
          <w:lang w:bidi="he-IL"/>
        </w:rPr>
        <w:t xml:space="preserve"> This period also reveals inscriptions and epitaphs that were used to reflect a person's dignity or social role.</w:t>
      </w:r>
      <w:r w:rsidR="00DD53E9">
        <w:rPr>
          <w:rStyle w:val="FootnoteReference"/>
          <w:rFonts w:ascii="Times New Roman" w:hAnsi="Times New Roman" w:cs="Times New Roman"/>
          <w:color w:val="0D0D14"/>
          <w:sz w:val="24"/>
          <w:szCs w:val="24"/>
          <w:lang w:bidi="he-IL"/>
        </w:rPr>
        <w:footnoteReference w:id="71"/>
      </w:r>
      <w:r w:rsidRPr="00F340A6">
        <w:rPr>
          <w:rFonts w:ascii="Times New Roman" w:hAnsi="Times New Roman" w:cs="Times New Roman"/>
          <w:color w:val="0D0D14"/>
          <w:sz w:val="24"/>
          <w:szCs w:val="24"/>
          <w:lang w:bidi="he-IL"/>
        </w:rPr>
        <w:t xml:space="preserve"> The literary works of the time, such as </w:t>
      </w:r>
      <w:r w:rsidRPr="00F340A6">
        <w:rPr>
          <w:rFonts w:ascii="Times New Roman" w:hAnsi="Times New Roman" w:cs="Times New Roman"/>
          <w:i/>
          <w:iCs/>
          <w:color w:val="0D0D14"/>
          <w:sz w:val="24"/>
          <w:szCs w:val="24"/>
          <w:lang w:bidi="he-IL"/>
        </w:rPr>
        <w:t>Diogenes Laertius</w:t>
      </w:r>
      <w:r w:rsidRPr="00F340A6">
        <w:rPr>
          <w:rFonts w:ascii="Times New Roman" w:hAnsi="Times New Roman" w:cs="Times New Roman"/>
          <w:color w:val="0D0D14"/>
          <w:sz w:val="24"/>
          <w:szCs w:val="24"/>
          <w:lang w:bidi="he-IL"/>
        </w:rPr>
        <w:t xml:space="preserve"> (1.10) and </w:t>
      </w:r>
      <w:r w:rsidRPr="00F340A6">
        <w:rPr>
          <w:rFonts w:ascii="Times New Roman" w:hAnsi="Times New Roman" w:cs="Times New Roman"/>
          <w:i/>
          <w:iCs/>
          <w:color w:val="0D0D14"/>
          <w:sz w:val="24"/>
          <w:szCs w:val="24"/>
          <w:lang w:bidi="he-IL"/>
        </w:rPr>
        <w:t>Philo, Legatio ad Gaium</w:t>
      </w:r>
      <w:r w:rsidRPr="00F340A6">
        <w:rPr>
          <w:rFonts w:ascii="Times New Roman" w:hAnsi="Times New Roman" w:cs="Times New Roman"/>
          <w:color w:val="0D0D14"/>
          <w:sz w:val="24"/>
          <w:szCs w:val="24"/>
          <w:lang w:bidi="he-IL"/>
        </w:rPr>
        <w:t xml:space="preserve"> (80, 110), μορφή refers to the divine form of a transcendent being. Therefore, in the Koine period, μορφή encompasses both physical and metaphysical expressions of being and dignity. The notion that external form may express one’s true nature anticipates Paul’s use in </w:t>
      </w:r>
      <w:r w:rsidRPr="00F340A6">
        <w:rPr>
          <w:rFonts w:ascii="Times New Roman" w:hAnsi="Times New Roman" w:cs="Times New Roman"/>
          <w:i/>
          <w:iCs/>
          <w:color w:val="0D0D14"/>
          <w:sz w:val="24"/>
          <w:szCs w:val="24"/>
          <w:lang w:bidi="he-IL"/>
        </w:rPr>
        <w:t>Philippians 2:6–7</w:t>
      </w:r>
      <w:r w:rsidRPr="00F340A6">
        <w:rPr>
          <w:rFonts w:ascii="Times New Roman" w:hAnsi="Times New Roman" w:cs="Times New Roman"/>
          <w:color w:val="0D0D14"/>
          <w:sz w:val="24"/>
          <w:szCs w:val="24"/>
          <w:lang w:bidi="he-IL"/>
        </w:rPr>
        <w:t>.</w:t>
      </w:r>
    </w:p>
    <w:p w14:paraId="79001925" w14:textId="7631EAE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the New Testament, μορφή occurs only three times—twice in </w:t>
      </w:r>
      <w:r w:rsidRPr="00F340A6">
        <w:rPr>
          <w:rFonts w:ascii="Times New Roman" w:hAnsi="Times New Roman" w:cs="Times New Roman"/>
          <w:i/>
          <w:iCs/>
          <w:color w:val="0D0D14"/>
          <w:sz w:val="24"/>
          <w:szCs w:val="24"/>
          <w:lang w:bidi="he-IL"/>
        </w:rPr>
        <w:t>Philippians 2:6–7</w:t>
      </w:r>
      <w:r w:rsidRPr="00F340A6">
        <w:rPr>
          <w:rFonts w:ascii="Times New Roman" w:hAnsi="Times New Roman" w:cs="Times New Roman"/>
          <w:color w:val="0D0D14"/>
          <w:sz w:val="24"/>
          <w:szCs w:val="24"/>
          <w:lang w:bidi="he-IL"/>
        </w:rPr>
        <w:t xml:space="preserve"> and once in </w:t>
      </w:r>
      <w:r w:rsidRPr="00F340A6">
        <w:rPr>
          <w:rFonts w:ascii="Times New Roman" w:hAnsi="Times New Roman" w:cs="Times New Roman"/>
          <w:i/>
          <w:iCs/>
          <w:color w:val="0D0D14"/>
          <w:sz w:val="24"/>
          <w:szCs w:val="24"/>
          <w:lang w:bidi="he-IL"/>
        </w:rPr>
        <w:t>Mark 16:12</w:t>
      </w:r>
      <w:r w:rsidRPr="00F340A6">
        <w:rPr>
          <w:rFonts w:ascii="Times New Roman" w:hAnsi="Times New Roman" w:cs="Times New Roman"/>
          <w:color w:val="0D0D14"/>
          <w:sz w:val="24"/>
          <w:szCs w:val="24"/>
          <w:lang w:bidi="he-IL"/>
        </w:rPr>
        <w:t xml:space="preserve">. A brief survey of these passages shows that the word bears two primary senses: (1) form, outward appearance, and (2) nature or character expressed visibly. In </w:t>
      </w:r>
      <w:r w:rsidRPr="00F340A6">
        <w:rPr>
          <w:rFonts w:ascii="Times New Roman" w:hAnsi="Times New Roman" w:cs="Times New Roman"/>
          <w:i/>
          <w:iCs/>
          <w:color w:val="0D0D14"/>
          <w:sz w:val="24"/>
          <w:szCs w:val="24"/>
          <w:lang w:bidi="he-IL"/>
        </w:rPr>
        <w:t>Philippians 2:6–7</w:t>
      </w:r>
      <w:r w:rsidRPr="00F340A6">
        <w:rPr>
          <w:rFonts w:ascii="Times New Roman" w:hAnsi="Times New Roman" w:cs="Times New Roman"/>
          <w:color w:val="0D0D14"/>
          <w:sz w:val="24"/>
          <w:szCs w:val="24"/>
          <w:lang w:bidi="he-IL"/>
        </w:rPr>
        <w:t>, Paul uses μορφή in the parallel expressions “ἐν μορφῇ Θεοῦ ὑπάρχων” and “μορφὴν δούλου λαβών” to describe both Christ’s preexistent divine condition and His incarnate servanthood.</w:t>
      </w:r>
    </w:p>
    <w:p w14:paraId="13D1A3A5"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ἁρπαγμός</w:t>
      </w:r>
    </w:p>
    <w:p w14:paraId="6C7FA683" w14:textId="1B0D58F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noun ἁρπαγμός (</w:t>
      </w:r>
      <w:r w:rsidRPr="00F340A6">
        <w:rPr>
          <w:rFonts w:ascii="Times New Roman" w:hAnsi="Times New Roman" w:cs="Times New Roman"/>
          <w:i/>
          <w:iCs/>
          <w:color w:val="0D0D14"/>
          <w:sz w:val="24"/>
          <w:szCs w:val="24"/>
          <w:lang w:bidi="he-IL"/>
        </w:rPr>
        <w:t>harpagmós</w:t>
      </w:r>
      <w:r w:rsidRPr="00F340A6">
        <w:rPr>
          <w:rFonts w:ascii="Times New Roman" w:hAnsi="Times New Roman" w:cs="Times New Roman"/>
          <w:color w:val="0D0D14"/>
          <w:sz w:val="24"/>
          <w:szCs w:val="24"/>
          <w:lang w:bidi="he-IL"/>
        </w:rPr>
        <w:t xml:space="preserve">) is found only once in the New Testament, used by Paul in </w:t>
      </w:r>
      <w:r w:rsidRPr="00F340A6">
        <w:rPr>
          <w:rFonts w:ascii="Times New Roman" w:hAnsi="Times New Roman" w:cs="Times New Roman"/>
          <w:i/>
          <w:iCs/>
          <w:color w:val="0D0D14"/>
          <w:sz w:val="24"/>
          <w:szCs w:val="24"/>
          <w:lang w:bidi="he-IL"/>
        </w:rPr>
        <w:t>Philippians 2:6</w:t>
      </w:r>
      <w:r w:rsidRPr="00F340A6">
        <w:rPr>
          <w:rFonts w:ascii="Times New Roman" w:hAnsi="Times New Roman" w:cs="Times New Roman"/>
          <w:color w:val="0D0D14"/>
          <w:sz w:val="24"/>
          <w:szCs w:val="24"/>
          <w:lang w:bidi="he-IL"/>
        </w:rPr>
        <w:t xml:space="preserve">. Though the term is rare in Greek and unattested in the Septuagint, understanding it is nevertheless crucial for grasping Paul’s depiction of the divine Christ who empties Himself. The noun is derived from ἁρπάζω (“to seize”), which </w:t>
      </w:r>
      <w:r w:rsidRPr="00F340A6">
        <w:rPr>
          <w:rFonts w:ascii="Times New Roman" w:hAnsi="Times New Roman" w:cs="Times New Roman"/>
          <w:color w:val="0D0D14"/>
          <w:sz w:val="24"/>
          <w:szCs w:val="24"/>
          <w:lang w:bidi="he-IL"/>
        </w:rPr>
        <w:lastRenderedPageBreak/>
        <w:t>denotes the act of grasping at or snatching away.</w:t>
      </w:r>
      <w:r w:rsidR="00DD53E9">
        <w:rPr>
          <w:rStyle w:val="FootnoteReference"/>
          <w:rFonts w:ascii="Times New Roman" w:hAnsi="Times New Roman" w:cs="Times New Roman"/>
          <w:color w:val="0D0D14"/>
          <w:sz w:val="24"/>
          <w:szCs w:val="24"/>
          <w:lang w:bidi="he-IL"/>
        </w:rPr>
        <w:footnoteReference w:id="72"/>
      </w:r>
      <w:r w:rsidRPr="00F340A6">
        <w:rPr>
          <w:rFonts w:ascii="Times New Roman" w:hAnsi="Times New Roman" w:cs="Times New Roman"/>
          <w:color w:val="0D0D14"/>
          <w:sz w:val="24"/>
          <w:szCs w:val="24"/>
          <w:lang w:bidi="he-IL"/>
        </w:rPr>
        <w:t xml:space="preserve"> Paul contrasts the human impulse to grasp with Christ’s willingness to humble Himself.</w:t>
      </w:r>
    </w:p>
    <w:p w14:paraId="14F838D4" w14:textId="177392F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According to BDAG, Paul’s use of the term bears three related senses: (1) “a violent seizure, robbery,” (2) “something to be grasped, held onto, or exploited,” and (3) “rapture” or an ecstatic experience.</w:t>
      </w:r>
      <w:r w:rsidR="00DD53E9">
        <w:rPr>
          <w:rStyle w:val="FootnoteReference"/>
          <w:rFonts w:ascii="Times New Roman" w:hAnsi="Times New Roman" w:cs="Times New Roman"/>
          <w:color w:val="0D0D14"/>
          <w:sz w:val="24"/>
          <w:szCs w:val="24"/>
          <w:lang w:bidi="he-IL"/>
        </w:rPr>
        <w:footnoteReference w:id="73"/>
      </w:r>
      <w:r w:rsidRPr="00F340A6">
        <w:rPr>
          <w:rFonts w:ascii="Times New Roman" w:hAnsi="Times New Roman" w:cs="Times New Roman"/>
          <w:color w:val="0D0D14"/>
          <w:sz w:val="24"/>
          <w:szCs w:val="24"/>
          <w:lang w:bidi="he-IL"/>
        </w:rPr>
        <w:t xml:space="preserve"> This analysis treats ἁρπαγμός as an attitude—something one might “seize upon,” yet instead chooses restraint. Though Christ is truly equal with God, He did not regard this equality as something to be seized upon, that is, as an opportunity to assert divine advantage over the human race. In this sense, ἁρπαγμός captures the paradox of the Incarnation: Christ, who is truly deity, reigns by relinquishing power rather than by seizing it.</w:t>
      </w:r>
    </w:p>
    <w:p w14:paraId="23095B39"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κενόω</w:t>
      </w:r>
    </w:p>
    <w:p w14:paraId="38FD7066" w14:textId="39F14F0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verb κενόω (</w:t>
      </w:r>
      <w:r w:rsidRPr="00F340A6">
        <w:rPr>
          <w:rFonts w:ascii="Times New Roman" w:hAnsi="Times New Roman" w:cs="Times New Roman"/>
          <w:i/>
          <w:iCs/>
          <w:color w:val="0D0D14"/>
          <w:sz w:val="24"/>
          <w:szCs w:val="24"/>
          <w:lang w:bidi="he-IL"/>
        </w:rPr>
        <w:t>kenoō</w:t>
      </w:r>
      <w:r w:rsidRPr="00F340A6">
        <w:rPr>
          <w:rFonts w:ascii="Times New Roman" w:hAnsi="Times New Roman" w:cs="Times New Roman"/>
          <w:color w:val="0D0D14"/>
          <w:sz w:val="24"/>
          <w:szCs w:val="24"/>
          <w:lang w:bidi="he-IL"/>
        </w:rPr>
        <w:t xml:space="preserve">) means “to empty” and occurs five times in the New Testament and twice in the Septuagint. The term is entirely Pauline in the New Testament and is most closely associated with Christology in </w:t>
      </w:r>
      <w:r w:rsidRPr="00F340A6">
        <w:rPr>
          <w:rFonts w:ascii="Times New Roman" w:hAnsi="Times New Roman" w:cs="Times New Roman"/>
          <w:i/>
          <w:iCs/>
          <w:color w:val="0D0D14"/>
          <w:sz w:val="24"/>
          <w:szCs w:val="24"/>
          <w:lang w:bidi="he-IL"/>
        </w:rPr>
        <w:t>Philippians 2:7</w:t>
      </w:r>
      <w:r w:rsidRPr="00F340A6">
        <w:rPr>
          <w:rFonts w:ascii="Times New Roman" w:hAnsi="Times New Roman" w:cs="Times New Roman"/>
          <w:color w:val="0D0D14"/>
          <w:sz w:val="24"/>
          <w:szCs w:val="24"/>
          <w:lang w:bidi="he-IL"/>
        </w:rPr>
        <w:t>.</w:t>
      </w:r>
      <w:r w:rsidR="00DD53E9">
        <w:rPr>
          <w:rStyle w:val="FootnoteReference"/>
          <w:rFonts w:ascii="Times New Roman" w:hAnsi="Times New Roman" w:cs="Times New Roman"/>
          <w:color w:val="0D0D14"/>
          <w:sz w:val="24"/>
          <w:szCs w:val="24"/>
          <w:lang w:bidi="he-IL"/>
        </w:rPr>
        <w:footnoteReference w:id="74"/>
      </w:r>
      <w:r w:rsidRPr="00F340A6">
        <w:rPr>
          <w:rFonts w:ascii="Times New Roman" w:hAnsi="Times New Roman" w:cs="Times New Roman"/>
          <w:color w:val="0D0D14"/>
          <w:sz w:val="24"/>
          <w:szCs w:val="24"/>
          <w:lang w:bidi="he-IL"/>
        </w:rPr>
        <w:t>  In the classical era, the adjective κενός was used both literally and figuratively from Homer onward.</w:t>
      </w:r>
      <w:r w:rsidR="00DD53E9">
        <w:rPr>
          <w:rStyle w:val="FootnoteReference"/>
          <w:rFonts w:ascii="Times New Roman" w:hAnsi="Times New Roman" w:cs="Times New Roman"/>
          <w:color w:val="0D0D14"/>
          <w:sz w:val="24"/>
          <w:szCs w:val="24"/>
          <w:lang w:bidi="he-IL"/>
        </w:rPr>
        <w:footnoteReference w:id="75"/>
      </w:r>
      <w:r w:rsidRPr="00F340A6">
        <w:rPr>
          <w:rFonts w:ascii="Times New Roman" w:hAnsi="Times New Roman" w:cs="Times New Roman"/>
          <w:color w:val="0D0D14"/>
          <w:sz w:val="24"/>
          <w:szCs w:val="24"/>
          <w:lang w:bidi="he-IL"/>
        </w:rPr>
        <w:t xml:space="preserve"> It describes objects devoid of substance, such as houses or vessels. Pindar employed the term to describe vain or hollow people, and Sophocles paired it with φρενῶν to depict someone “void of understanding.”</w:t>
      </w:r>
      <w:r w:rsidR="00DD53E9">
        <w:rPr>
          <w:rStyle w:val="FootnoteReference"/>
          <w:rFonts w:ascii="Times New Roman" w:hAnsi="Times New Roman" w:cs="Times New Roman"/>
          <w:color w:val="0D0D14"/>
          <w:sz w:val="24"/>
          <w:szCs w:val="24"/>
          <w:lang w:bidi="he-IL"/>
        </w:rPr>
        <w:footnoteReference w:id="76"/>
      </w:r>
    </w:p>
    <w:p w14:paraId="0D094264" w14:textId="4AD6F213"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In the Septuagint, the word appears more than seventy times and has a broad semantic range that includes both literal emptiness and moral vanity.</w:t>
      </w:r>
      <w:r w:rsidR="00DD53E9">
        <w:rPr>
          <w:rStyle w:val="FootnoteReference"/>
          <w:rFonts w:ascii="Times New Roman" w:hAnsi="Times New Roman" w:cs="Times New Roman"/>
          <w:color w:val="0D0D14"/>
          <w:sz w:val="24"/>
          <w:szCs w:val="24"/>
          <w:lang w:bidi="he-IL"/>
        </w:rPr>
        <w:footnoteReference w:id="77"/>
      </w:r>
      <w:r w:rsidRPr="00F340A6">
        <w:rPr>
          <w:rFonts w:ascii="Times New Roman" w:hAnsi="Times New Roman" w:cs="Times New Roman"/>
          <w:color w:val="0D0D14"/>
          <w:sz w:val="24"/>
          <w:szCs w:val="24"/>
          <w:lang w:bidi="he-IL"/>
        </w:rPr>
        <w:t xml:space="preserve"> Literally, it describes what is “empty” or “bare” (e.g., </w:t>
      </w:r>
      <w:r w:rsidRPr="00F340A6">
        <w:rPr>
          <w:rFonts w:ascii="Times New Roman" w:hAnsi="Times New Roman" w:cs="Times New Roman"/>
          <w:i/>
          <w:iCs/>
          <w:color w:val="0D0D14"/>
          <w:sz w:val="24"/>
          <w:szCs w:val="24"/>
          <w:lang w:bidi="he-IL"/>
        </w:rPr>
        <w:t>Gen. 31:42; 37:24; Exod. 3:21</w:t>
      </w:r>
      <w:r w:rsidRPr="00F340A6">
        <w:rPr>
          <w:rFonts w:ascii="Times New Roman" w:hAnsi="Times New Roman" w:cs="Times New Roman"/>
          <w:color w:val="0D0D14"/>
          <w:sz w:val="24"/>
          <w:szCs w:val="24"/>
          <w:lang w:bidi="he-IL"/>
        </w:rPr>
        <w:t xml:space="preserve">). Figuratively, it expresses what is “vain,” “worthless,” or “without result” (e.g., </w:t>
      </w:r>
      <w:r w:rsidRPr="00F340A6">
        <w:rPr>
          <w:rFonts w:ascii="Times New Roman" w:hAnsi="Times New Roman" w:cs="Times New Roman"/>
          <w:i/>
          <w:iCs/>
          <w:color w:val="0D0D14"/>
          <w:sz w:val="24"/>
          <w:szCs w:val="24"/>
          <w:lang w:bidi="he-IL"/>
        </w:rPr>
        <w:t>Exod. 5:9; Judg. 9:4; Neh. 5:13</w:t>
      </w:r>
      <w:r w:rsidRPr="00F340A6">
        <w:rPr>
          <w:rFonts w:ascii="Times New Roman" w:hAnsi="Times New Roman" w:cs="Times New Roman"/>
          <w:color w:val="0D0D14"/>
          <w:sz w:val="24"/>
          <w:szCs w:val="24"/>
          <w:lang w:bidi="he-IL"/>
        </w:rPr>
        <w:t xml:space="preserve">). Its appearance in repeated idioms such as εἰς κενόν and διὰ κενῆς (“in vain,” “to no purpose”; cf. </w:t>
      </w:r>
      <w:r w:rsidRPr="00F340A6">
        <w:rPr>
          <w:rFonts w:ascii="Times New Roman" w:hAnsi="Times New Roman" w:cs="Times New Roman"/>
          <w:i/>
          <w:iCs/>
          <w:color w:val="0D0D14"/>
          <w:sz w:val="24"/>
          <w:szCs w:val="24"/>
          <w:lang w:bidi="he-IL"/>
        </w:rPr>
        <w:t>Lev. 26:20; Job 2:9</w:t>
      </w:r>
      <w:r w:rsidRPr="00F340A6">
        <w:rPr>
          <w:rFonts w:ascii="Times New Roman" w:hAnsi="Times New Roman" w:cs="Times New Roman"/>
          <w:color w:val="0D0D14"/>
          <w:sz w:val="24"/>
          <w:szCs w:val="24"/>
          <w:lang w:bidi="he-IL"/>
        </w:rPr>
        <w:t>) shows how κενός evolved into an ethical and theological term for futility, moral emptiness, or purposelessness.</w:t>
      </w:r>
      <w:r w:rsidR="00DD53E9">
        <w:rPr>
          <w:rStyle w:val="FootnoteReference"/>
          <w:rFonts w:ascii="Times New Roman" w:hAnsi="Times New Roman" w:cs="Times New Roman"/>
          <w:color w:val="0D0D14"/>
          <w:sz w:val="24"/>
          <w:szCs w:val="24"/>
          <w:lang w:bidi="he-IL"/>
        </w:rPr>
        <w:footnoteReference w:id="78"/>
      </w:r>
      <w:r w:rsidRPr="00F340A6">
        <w:rPr>
          <w:rFonts w:ascii="Times New Roman" w:hAnsi="Times New Roman" w:cs="Times New Roman"/>
          <w:color w:val="0D0D14"/>
          <w:sz w:val="24"/>
          <w:szCs w:val="24"/>
          <w:lang w:bidi="he-IL"/>
        </w:rPr>
        <w:t xml:space="preserve"> These figurative examples form the backdrop for Paul’s use of κενόω to depict Christ’s self-emptying within God’s redemptive purpose.</w:t>
      </w:r>
    </w:p>
    <w:p w14:paraId="61DC825E" w14:textId="62ECCDB9"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non-biblical Koine examples, Oepke notes that κενός frequently appears in Stoic and rhetorical literature to critique vain boasting (e.g., </w:t>
      </w:r>
      <w:r w:rsidRPr="00F340A6">
        <w:rPr>
          <w:rFonts w:ascii="Times New Roman" w:hAnsi="Times New Roman" w:cs="Times New Roman"/>
          <w:i/>
          <w:iCs/>
          <w:color w:val="0D0D14"/>
          <w:sz w:val="24"/>
          <w:szCs w:val="24"/>
          <w:lang w:bidi="he-IL"/>
        </w:rPr>
        <w:t>κενοὶ λόγοι</w:t>
      </w:r>
      <w:r w:rsidRPr="00F340A6">
        <w:rPr>
          <w:rFonts w:ascii="Times New Roman" w:hAnsi="Times New Roman" w:cs="Times New Roman"/>
          <w:color w:val="0D0D14"/>
          <w:sz w:val="24"/>
          <w:szCs w:val="24"/>
          <w:lang w:bidi="he-IL"/>
        </w:rPr>
        <w:t xml:space="preserve">, “empty words,” </w:t>
      </w:r>
      <w:r w:rsidRPr="00F340A6">
        <w:rPr>
          <w:rFonts w:ascii="Times New Roman" w:hAnsi="Times New Roman" w:cs="Times New Roman"/>
          <w:i/>
          <w:iCs/>
          <w:color w:val="0D0D14"/>
          <w:sz w:val="24"/>
          <w:szCs w:val="24"/>
          <w:lang w:bidi="he-IL"/>
        </w:rPr>
        <w:t>Plato, Laches</w:t>
      </w:r>
      <w:r w:rsidRPr="00F340A6">
        <w:rPr>
          <w:rFonts w:ascii="Times New Roman" w:hAnsi="Times New Roman" w:cs="Times New Roman"/>
          <w:color w:val="0D0D14"/>
          <w:sz w:val="24"/>
          <w:szCs w:val="24"/>
          <w:lang w:bidi="he-IL"/>
        </w:rPr>
        <w:t xml:space="preserve"> 196b; </w:t>
      </w:r>
      <w:r w:rsidRPr="00F340A6">
        <w:rPr>
          <w:rFonts w:ascii="Times New Roman" w:hAnsi="Times New Roman" w:cs="Times New Roman"/>
          <w:i/>
          <w:iCs/>
          <w:color w:val="0D0D14"/>
          <w:sz w:val="24"/>
          <w:szCs w:val="24"/>
          <w:lang w:bidi="he-IL"/>
        </w:rPr>
        <w:t>Philo, Virt.</w:t>
      </w:r>
      <w:r w:rsidRPr="00F340A6">
        <w:rPr>
          <w:rFonts w:ascii="Times New Roman" w:hAnsi="Times New Roman" w:cs="Times New Roman"/>
          <w:color w:val="0D0D14"/>
          <w:sz w:val="24"/>
          <w:szCs w:val="24"/>
          <w:lang w:bidi="he-IL"/>
        </w:rPr>
        <w:t xml:space="preserve"> 179).</w:t>
      </w:r>
      <w:r w:rsidR="00132573">
        <w:rPr>
          <w:rStyle w:val="FootnoteReference"/>
          <w:rFonts w:ascii="Times New Roman" w:hAnsi="Times New Roman" w:cs="Times New Roman"/>
          <w:color w:val="0D0D14"/>
          <w:sz w:val="24"/>
          <w:szCs w:val="24"/>
          <w:lang w:bidi="he-IL"/>
        </w:rPr>
        <w:footnoteReference w:id="79"/>
      </w:r>
      <w:r w:rsidRPr="00F340A6">
        <w:rPr>
          <w:rFonts w:ascii="Times New Roman" w:hAnsi="Times New Roman" w:cs="Times New Roman"/>
          <w:color w:val="0D0D14"/>
          <w:sz w:val="24"/>
          <w:szCs w:val="24"/>
          <w:lang w:bidi="he-IL"/>
        </w:rPr>
        <w:t xml:space="preserve"> This intellectual nuance aligns closely with the LXX’s ethical development, setting the stage for Paul’s metaphorical application.</w:t>
      </w:r>
    </w:p>
    <w:p w14:paraId="1782F884" w14:textId="249D7E3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In the New Testament, Paul consistently uses κενόω to depict something deprived of its value, made void, or rendered ineffective (e.g., </w:t>
      </w:r>
      <w:r w:rsidRPr="00F340A6">
        <w:rPr>
          <w:rFonts w:ascii="Times New Roman" w:hAnsi="Times New Roman" w:cs="Times New Roman"/>
          <w:i/>
          <w:iCs/>
          <w:color w:val="0D0D14"/>
          <w:sz w:val="24"/>
          <w:szCs w:val="24"/>
          <w:lang w:bidi="he-IL"/>
        </w:rPr>
        <w:t>Rom. 4:14; 1 Cor. 1:17; 9:15; 2 Cor. 9:3</w:t>
      </w:r>
      <w:r w:rsidRPr="00F340A6">
        <w:rPr>
          <w:rFonts w:ascii="Times New Roman" w:hAnsi="Times New Roman" w:cs="Times New Roman"/>
          <w:color w:val="0D0D14"/>
          <w:sz w:val="24"/>
          <w:szCs w:val="24"/>
          <w:lang w:bidi="he-IL"/>
        </w:rPr>
        <w:t>).</w:t>
      </w:r>
      <w:r w:rsidR="00132573">
        <w:rPr>
          <w:rStyle w:val="FootnoteReference"/>
          <w:rFonts w:ascii="Times New Roman" w:hAnsi="Times New Roman" w:cs="Times New Roman"/>
          <w:color w:val="0D0D14"/>
          <w:sz w:val="24"/>
          <w:szCs w:val="24"/>
          <w:lang w:bidi="he-IL"/>
        </w:rPr>
        <w:footnoteReference w:id="80"/>
      </w:r>
      <w:r w:rsidRPr="00F340A6">
        <w:rPr>
          <w:rFonts w:ascii="Times New Roman" w:hAnsi="Times New Roman" w:cs="Times New Roman"/>
          <w:color w:val="0D0D14"/>
          <w:sz w:val="24"/>
          <w:szCs w:val="24"/>
          <w:lang w:bidi="he-IL"/>
        </w:rPr>
        <w:t xml:space="preserve"> In the Christ Hymn, however, the term takes on a profoundly theological sense, describing Christ’s voluntary divestment of status. BDAG defines this instance as “divestiture of position or prestige,” emphasizing that Christ did not relinquish His divine nature but set aside the visible manifestations of glory, assuming servanthood.</w:t>
      </w:r>
      <w:r w:rsidR="00132573">
        <w:rPr>
          <w:rStyle w:val="FootnoteReference"/>
          <w:rFonts w:ascii="Times New Roman" w:hAnsi="Times New Roman" w:cs="Times New Roman"/>
          <w:color w:val="0D0D14"/>
          <w:sz w:val="24"/>
          <w:szCs w:val="24"/>
          <w:lang w:bidi="he-IL"/>
        </w:rPr>
        <w:footnoteReference w:id="81"/>
      </w:r>
      <w:r w:rsidRPr="00F340A6">
        <w:rPr>
          <w:rFonts w:ascii="Times New Roman" w:hAnsi="Times New Roman" w:cs="Times New Roman"/>
          <w:color w:val="0D0D14"/>
          <w:sz w:val="24"/>
          <w:szCs w:val="24"/>
          <w:lang w:bidi="he-IL"/>
        </w:rPr>
        <w:t xml:space="preserve"> Thus, in </w:t>
      </w:r>
      <w:r w:rsidRPr="00F340A6">
        <w:rPr>
          <w:rFonts w:ascii="Times New Roman" w:hAnsi="Times New Roman" w:cs="Times New Roman"/>
          <w:color w:val="0D0D14"/>
          <w:sz w:val="24"/>
          <w:szCs w:val="24"/>
          <w:lang w:bidi="he-IL"/>
        </w:rPr>
        <w:lastRenderedPageBreak/>
        <w:t>this analysis, κενόω is translated simply as “emptied,” allowing the context to supply the nuance of Paul’s intention.</w:t>
      </w:r>
    </w:p>
    <w:p w14:paraId="16849096"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ταπεινόω</w:t>
      </w:r>
    </w:p>
    <w:p w14:paraId="76AB798B" w14:textId="4F47FF33"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verb ταπεινόω (</w:t>
      </w:r>
      <w:r w:rsidRPr="00F340A6">
        <w:rPr>
          <w:rFonts w:ascii="Times New Roman" w:hAnsi="Times New Roman" w:cs="Times New Roman"/>
          <w:i/>
          <w:iCs/>
          <w:color w:val="0D0D14"/>
          <w:sz w:val="24"/>
          <w:szCs w:val="24"/>
          <w:lang w:bidi="he-IL"/>
        </w:rPr>
        <w:t>tapeinoō</w:t>
      </w:r>
      <w:r w:rsidRPr="00F340A6">
        <w:rPr>
          <w:rFonts w:ascii="Times New Roman" w:hAnsi="Times New Roman" w:cs="Times New Roman"/>
          <w:color w:val="0D0D14"/>
          <w:sz w:val="24"/>
          <w:szCs w:val="24"/>
          <w:lang w:bidi="he-IL"/>
        </w:rPr>
        <w:t>), defined as “to make low, to make humble,” is derived from the adjective ταπεινός, meaning “lowly or humble.”</w:t>
      </w:r>
      <w:r w:rsidR="00132573">
        <w:rPr>
          <w:rStyle w:val="FootnoteReference"/>
          <w:rFonts w:ascii="Times New Roman" w:hAnsi="Times New Roman" w:cs="Times New Roman"/>
          <w:color w:val="0D0D14"/>
          <w:sz w:val="24"/>
          <w:szCs w:val="24"/>
          <w:lang w:bidi="he-IL"/>
        </w:rPr>
        <w:footnoteReference w:id="82"/>
      </w:r>
      <w:r w:rsidRPr="00F340A6">
        <w:rPr>
          <w:rFonts w:ascii="Times New Roman" w:hAnsi="Times New Roman" w:cs="Times New Roman"/>
          <w:color w:val="0D0D14"/>
          <w:sz w:val="24"/>
          <w:szCs w:val="24"/>
          <w:lang w:bidi="he-IL"/>
        </w:rPr>
        <w:t xml:space="preserve"> Its fourteen uses in the New Testament encompass both the concepts of forced humiliation and voluntary humility.</w:t>
      </w:r>
    </w:p>
    <w:p w14:paraId="2B62CC66" w14:textId="64D2158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classical Greek, the earliest use of the term simply meant “low or flat” in a physical sense but later gained a metaphorical meaning</w:t>
      </w:r>
      <w:r w:rsidR="00132573">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“to weaken, humiliate, or bring down in status.”</w:t>
      </w:r>
      <w:r w:rsidR="00D85940">
        <w:rPr>
          <w:rStyle w:val="FootnoteReference"/>
          <w:rFonts w:ascii="Times New Roman" w:hAnsi="Times New Roman" w:cs="Times New Roman"/>
          <w:color w:val="0D0D14"/>
          <w:sz w:val="24"/>
          <w:szCs w:val="24"/>
          <w:lang w:bidi="he-IL"/>
        </w:rPr>
        <w:footnoteReference w:id="83"/>
      </w:r>
      <w:r w:rsidRPr="00F340A6">
        <w:rPr>
          <w:rFonts w:ascii="Times New Roman" w:hAnsi="Times New Roman" w:cs="Times New Roman"/>
          <w:color w:val="0D0D14"/>
          <w:sz w:val="24"/>
          <w:szCs w:val="24"/>
          <w:lang w:bidi="he-IL"/>
        </w:rPr>
        <w:t>  It was applied to natural objects such as hills or to physical powers (</w:t>
      </w:r>
      <w:r w:rsidRPr="00F340A6">
        <w:rPr>
          <w:rFonts w:ascii="Times New Roman" w:hAnsi="Times New Roman" w:cs="Times New Roman"/>
          <w:i/>
          <w:iCs/>
          <w:color w:val="0D0D14"/>
          <w:sz w:val="24"/>
          <w:szCs w:val="24"/>
          <w:lang w:bidi="he-IL"/>
        </w:rPr>
        <w:t>Plato, Tim.</w:t>
      </w:r>
      <w:r w:rsidRPr="00F340A6">
        <w:rPr>
          <w:rFonts w:ascii="Times New Roman" w:hAnsi="Times New Roman" w:cs="Times New Roman"/>
          <w:color w:val="0D0D14"/>
          <w:sz w:val="24"/>
          <w:szCs w:val="24"/>
          <w:lang w:bidi="he-IL"/>
        </w:rPr>
        <w:t xml:space="preserve"> 72d; </w:t>
      </w:r>
      <w:r w:rsidRPr="00F340A6">
        <w:rPr>
          <w:rFonts w:ascii="Times New Roman" w:hAnsi="Times New Roman" w:cs="Times New Roman"/>
          <w:i/>
          <w:iCs/>
          <w:color w:val="0D0D14"/>
          <w:sz w:val="24"/>
          <w:szCs w:val="24"/>
          <w:lang w:bidi="he-IL"/>
        </w:rPr>
        <w:t>Xenophon, Hell.</w:t>
      </w:r>
      <w:r w:rsidRPr="00F340A6">
        <w:rPr>
          <w:rFonts w:ascii="Times New Roman" w:hAnsi="Times New Roman" w:cs="Times New Roman"/>
          <w:color w:val="0D0D14"/>
          <w:sz w:val="24"/>
          <w:szCs w:val="24"/>
          <w:lang w:bidi="he-IL"/>
        </w:rPr>
        <w:t xml:space="preserve"> 5.3.27) and also to the degradation of persons through loss of prestige or defeat.</w:t>
      </w:r>
      <w:r w:rsidR="00D85940">
        <w:rPr>
          <w:rStyle w:val="FootnoteReference"/>
          <w:rFonts w:ascii="Times New Roman" w:hAnsi="Times New Roman" w:cs="Times New Roman"/>
          <w:color w:val="0D0D14"/>
          <w:sz w:val="24"/>
          <w:szCs w:val="24"/>
          <w:lang w:bidi="he-IL"/>
        </w:rPr>
        <w:footnoteReference w:id="84"/>
      </w:r>
      <w:r w:rsidRPr="00F340A6">
        <w:rPr>
          <w:rFonts w:ascii="Times New Roman" w:hAnsi="Times New Roman" w:cs="Times New Roman"/>
          <w:color w:val="0D0D14"/>
          <w:sz w:val="24"/>
          <w:szCs w:val="24"/>
          <w:lang w:bidi="he-IL"/>
        </w:rPr>
        <w:t xml:space="preserve"> Plutarch, Polybius, and Epictetus used the term to describe acts of subjugation, social oppression, and the breaking of others’ spirits.</w:t>
      </w:r>
      <w:r w:rsidR="00D85940">
        <w:rPr>
          <w:rStyle w:val="FootnoteReference"/>
          <w:rFonts w:ascii="Times New Roman" w:hAnsi="Times New Roman" w:cs="Times New Roman"/>
          <w:color w:val="0D0D14"/>
          <w:sz w:val="24"/>
          <w:szCs w:val="24"/>
          <w:lang w:bidi="he-IL"/>
        </w:rPr>
        <w:footnoteReference w:id="85"/>
      </w:r>
      <w:r w:rsidRPr="00F340A6">
        <w:rPr>
          <w:rFonts w:ascii="Times New Roman" w:hAnsi="Times New Roman" w:cs="Times New Roman"/>
          <w:color w:val="0D0D14"/>
          <w:sz w:val="24"/>
          <w:szCs w:val="24"/>
          <w:lang w:bidi="he-IL"/>
        </w:rPr>
        <w:t xml:space="preserve"> Aristotle observed, “One should not contradict those who disparage themselves—mid. </w:t>
      </w:r>
      <w:r w:rsidRPr="00F340A6">
        <w:rPr>
          <w:rFonts w:ascii="Times New Roman" w:hAnsi="Times New Roman" w:cs="Times New Roman"/>
          <w:i/>
          <w:iCs/>
          <w:color w:val="0D0D14"/>
          <w:sz w:val="24"/>
          <w:szCs w:val="24"/>
          <w:lang w:bidi="he-IL"/>
        </w:rPr>
        <w:t>ταπεινουμένους</w:t>
      </w:r>
      <w:r w:rsidRPr="00F340A6">
        <w:rPr>
          <w:rFonts w:ascii="Times New Roman" w:hAnsi="Times New Roman" w:cs="Times New Roman"/>
          <w:color w:val="0D0D14"/>
          <w:sz w:val="24"/>
          <w:szCs w:val="24"/>
          <w:lang w:bidi="he-IL"/>
        </w:rPr>
        <w:t>—since they show themselves to be weaker and meaner.”</w:t>
      </w:r>
      <w:r w:rsidR="00D85940">
        <w:rPr>
          <w:rStyle w:val="FootnoteReference"/>
          <w:rFonts w:ascii="Times New Roman" w:hAnsi="Times New Roman" w:cs="Times New Roman"/>
          <w:color w:val="0D0D14"/>
          <w:sz w:val="24"/>
          <w:szCs w:val="24"/>
          <w:lang w:bidi="he-IL"/>
        </w:rPr>
        <w:footnoteReference w:id="86"/>
      </w:r>
      <w:r w:rsidRPr="00F340A6">
        <w:rPr>
          <w:rFonts w:ascii="Times New Roman" w:hAnsi="Times New Roman" w:cs="Times New Roman"/>
          <w:color w:val="0D0D14"/>
          <w:sz w:val="24"/>
          <w:szCs w:val="24"/>
          <w:lang w:bidi="he-IL"/>
        </w:rPr>
        <w:t xml:space="preserve"> Therefore, in the classical era, the word carried negative connotations, whether referring to humiliation imposed by others or self-abasement, a sense far removed from the virtue later commended in the LXX and the New Testament.</w:t>
      </w:r>
    </w:p>
    <w:p w14:paraId="52C4D55A" w14:textId="41870520"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The LXX employs the verb abundantly, marking a major semantic shift from its classical roots and providing the interpreter with substantial examples for understanding its biblical nuance. The most notable development is its transformation from a negative state of humiliation to a positive covenant posture of humility before God.</w:t>
      </w:r>
      <w:r w:rsidR="00D85940">
        <w:rPr>
          <w:rStyle w:val="FootnoteReference"/>
          <w:rFonts w:ascii="Times New Roman" w:hAnsi="Times New Roman" w:cs="Times New Roman"/>
          <w:color w:val="0D0D14"/>
          <w:sz w:val="24"/>
          <w:szCs w:val="24"/>
          <w:lang w:bidi="he-IL"/>
        </w:rPr>
        <w:footnoteReference w:id="87"/>
      </w:r>
      <w:r w:rsidRPr="00F340A6">
        <w:rPr>
          <w:rFonts w:ascii="Times New Roman" w:hAnsi="Times New Roman" w:cs="Times New Roman"/>
          <w:color w:val="0D0D14"/>
          <w:sz w:val="24"/>
          <w:szCs w:val="24"/>
          <w:lang w:bidi="he-IL"/>
        </w:rPr>
        <w:t xml:space="preserve"> The verb can still describe physical lowering (“to bring down, level, or bow,” e.g., </w:t>
      </w:r>
      <w:r w:rsidRPr="00F340A6">
        <w:rPr>
          <w:rFonts w:ascii="Times New Roman" w:hAnsi="Times New Roman" w:cs="Times New Roman"/>
          <w:i/>
          <w:iCs/>
          <w:color w:val="0D0D14"/>
          <w:sz w:val="24"/>
          <w:szCs w:val="24"/>
          <w:lang w:bidi="he-IL"/>
        </w:rPr>
        <w:t>Isa. 40:4; Ezek. 17:24</w:t>
      </w:r>
      <w:r w:rsidRPr="00F340A6">
        <w:rPr>
          <w:rFonts w:ascii="Times New Roman" w:hAnsi="Times New Roman" w:cs="Times New Roman"/>
          <w:color w:val="0D0D14"/>
          <w:sz w:val="24"/>
          <w:szCs w:val="24"/>
          <w:lang w:bidi="he-IL"/>
        </w:rPr>
        <w:t xml:space="preserve">), but more often it expresses moral or spiritual humility. In passages such as </w:t>
      </w:r>
      <w:r w:rsidRPr="00F340A6">
        <w:rPr>
          <w:rFonts w:ascii="Times New Roman" w:hAnsi="Times New Roman" w:cs="Times New Roman"/>
          <w:i/>
          <w:iCs/>
          <w:color w:val="0D0D14"/>
          <w:sz w:val="24"/>
          <w:szCs w:val="24"/>
          <w:lang w:bidi="he-IL"/>
        </w:rPr>
        <w:t>Lev. 16:29</w:t>
      </w:r>
      <w:r w:rsidRPr="00F340A6">
        <w:rPr>
          <w:rFonts w:ascii="Times New Roman" w:hAnsi="Times New Roman" w:cs="Times New Roman"/>
          <w:color w:val="0D0D14"/>
          <w:sz w:val="24"/>
          <w:szCs w:val="24"/>
          <w:lang w:bidi="he-IL"/>
        </w:rPr>
        <w:t xml:space="preserve"> and </w:t>
      </w:r>
      <w:r w:rsidRPr="00F340A6">
        <w:rPr>
          <w:rFonts w:ascii="Times New Roman" w:hAnsi="Times New Roman" w:cs="Times New Roman"/>
          <w:i/>
          <w:iCs/>
          <w:color w:val="0D0D14"/>
          <w:sz w:val="24"/>
          <w:szCs w:val="24"/>
          <w:lang w:bidi="he-IL"/>
        </w:rPr>
        <w:t>Ps. 50[51]:19</w:t>
      </w:r>
      <w:r w:rsidRPr="00F340A6">
        <w:rPr>
          <w:rFonts w:ascii="Times New Roman" w:hAnsi="Times New Roman" w:cs="Times New Roman"/>
          <w:color w:val="0D0D14"/>
          <w:sz w:val="24"/>
          <w:szCs w:val="24"/>
          <w:lang w:bidi="he-IL"/>
        </w:rPr>
        <w:t xml:space="preserve">, Israel is called to </w:t>
      </w:r>
      <w:r w:rsidRPr="00F340A6">
        <w:rPr>
          <w:rFonts w:ascii="Times New Roman" w:hAnsi="Times New Roman" w:cs="Times New Roman"/>
          <w:i/>
          <w:iCs/>
          <w:color w:val="0D0D14"/>
          <w:sz w:val="24"/>
          <w:szCs w:val="24"/>
          <w:lang w:bidi="he-IL"/>
        </w:rPr>
        <w:t>ταπεινοῦν τὴν ψυχὴν</w:t>
      </w:r>
      <w:r w:rsidRPr="00F340A6">
        <w:rPr>
          <w:rFonts w:ascii="Times New Roman" w:hAnsi="Times New Roman" w:cs="Times New Roman"/>
          <w:color w:val="0D0D14"/>
          <w:sz w:val="24"/>
          <w:szCs w:val="24"/>
          <w:lang w:bidi="he-IL"/>
        </w:rPr>
        <w:t xml:space="preserve"> (“humble one’s soul”) through fasting and repentance.</w:t>
      </w:r>
      <w:r w:rsidR="00D85940">
        <w:rPr>
          <w:rStyle w:val="FootnoteReference"/>
          <w:rFonts w:ascii="Times New Roman" w:hAnsi="Times New Roman" w:cs="Times New Roman"/>
          <w:color w:val="0D0D14"/>
          <w:sz w:val="24"/>
          <w:szCs w:val="24"/>
          <w:lang w:bidi="he-IL"/>
        </w:rPr>
        <w:footnoteReference w:id="88"/>
      </w:r>
      <w:r w:rsidRPr="00F340A6">
        <w:rPr>
          <w:rFonts w:ascii="Times New Roman" w:hAnsi="Times New Roman" w:cs="Times New Roman"/>
          <w:color w:val="0D0D14"/>
          <w:sz w:val="24"/>
          <w:szCs w:val="24"/>
          <w:lang w:bidi="he-IL"/>
        </w:rPr>
        <w:t xml:space="preserve"> God Himself is portrayed as the One who humbles the arrogant and exalts the lowly (</w:t>
      </w:r>
      <w:r w:rsidRPr="00F340A6">
        <w:rPr>
          <w:rFonts w:ascii="Times New Roman" w:hAnsi="Times New Roman" w:cs="Times New Roman"/>
          <w:i/>
          <w:iCs/>
          <w:color w:val="0D0D14"/>
          <w:sz w:val="24"/>
          <w:szCs w:val="24"/>
          <w:lang w:bidi="he-IL"/>
        </w:rPr>
        <w:t>Isa. 2:11; 13:11; 2 Sam. 22:28</w:t>
      </w:r>
      <w:r w:rsidRPr="00F340A6">
        <w:rPr>
          <w:rFonts w:ascii="Times New Roman" w:hAnsi="Times New Roman" w:cs="Times New Roman"/>
          <w:color w:val="0D0D14"/>
          <w:sz w:val="24"/>
          <w:szCs w:val="24"/>
          <w:lang w:bidi="he-IL"/>
        </w:rPr>
        <w:t>). Hence, the LXX redefines the classical term of disgrace into one of piety and noble submission to God.</w:t>
      </w:r>
    </w:p>
    <w:p w14:paraId="14EC9853" w14:textId="228B06E3"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Outside of Scripture in the Koine period, the term continues to denote status reduction and humiliation (</w:t>
      </w:r>
      <w:r w:rsidRPr="00F340A6">
        <w:rPr>
          <w:rFonts w:ascii="Times New Roman" w:hAnsi="Times New Roman" w:cs="Times New Roman"/>
          <w:i/>
          <w:iCs/>
          <w:color w:val="0D0D14"/>
          <w:sz w:val="24"/>
          <w:szCs w:val="24"/>
          <w:lang w:bidi="he-IL"/>
        </w:rPr>
        <w:t>Diodorus Siculus</w:t>
      </w:r>
      <w:r w:rsidRPr="00F340A6">
        <w:rPr>
          <w:rFonts w:ascii="Times New Roman" w:hAnsi="Times New Roman" w:cs="Times New Roman"/>
          <w:color w:val="0D0D14"/>
          <w:sz w:val="24"/>
          <w:szCs w:val="24"/>
          <w:lang w:bidi="he-IL"/>
        </w:rPr>
        <w:t xml:space="preserve"> 8.25.1) along with its physical sense of lowering (1.36.8). BDAG notes contexts where it signifies juridical or social defeat and material setback.</w:t>
      </w:r>
      <w:r w:rsidR="00D85940">
        <w:rPr>
          <w:rStyle w:val="FootnoteReference"/>
          <w:rFonts w:ascii="Times New Roman" w:hAnsi="Times New Roman" w:cs="Times New Roman"/>
          <w:color w:val="0D0D14"/>
          <w:sz w:val="24"/>
          <w:szCs w:val="24"/>
          <w:lang w:bidi="he-IL"/>
        </w:rPr>
        <w:footnoteReference w:id="89"/>
      </w:r>
      <w:r w:rsidRPr="00F340A6">
        <w:rPr>
          <w:rFonts w:ascii="Times New Roman" w:hAnsi="Times New Roman" w:cs="Times New Roman"/>
          <w:color w:val="0D0D14"/>
          <w:sz w:val="24"/>
          <w:szCs w:val="24"/>
          <w:lang w:bidi="he-IL"/>
        </w:rPr>
        <w:t xml:space="preserve"> Alongside these, however, appear virtuous philosophical uses that emphasize self-control and voluntary modesty (</w:t>
      </w:r>
      <w:r w:rsidRPr="00F340A6">
        <w:rPr>
          <w:rFonts w:ascii="Times New Roman" w:hAnsi="Times New Roman" w:cs="Times New Roman"/>
          <w:i/>
          <w:iCs/>
          <w:color w:val="0D0D14"/>
          <w:sz w:val="24"/>
          <w:szCs w:val="24"/>
          <w:lang w:bidi="he-IL"/>
        </w:rPr>
        <w:t>Philodemus, Peri kakion</w:t>
      </w:r>
      <w:r w:rsidRPr="00F340A6">
        <w:rPr>
          <w:rFonts w:ascii="Times New Roman" w:hAnsi="Times New Roman" w:cs="Times New Roman"/>
          <w:color w:val="0D0D14"/>
          <w:sz w:val="24"/>
          <w:szCs w:val="24"/>
          <w:lang w:bidi="he-IL"/>
        </w:rPr>
        <w:t xml:space="preserve"> col. 22.3; </w:t>
      </w:r>
      <w:r w:rsidRPr="00F340A6">
        <w:rPr>
          <w:rFonts w:ascii="Times New Roman" w:hAnsi="Times New Roman" w:cs="Times New Roman"/>
          <w:i/>
          <w:iCs/>
          <w:color w:val="0D0D14"/>
          <w:sz w:val="24"/>
          <w:szCs w:val="24"/>
          <w:lang w:bidi="he-IL"/>
        </w:rPr>
        <w:t>Celsus</w:t>
      </w:r>
      <w:r w:rsidRPr="00F340A6">
        <w:rPr>
          <w:rFonts w:ascii="Times New Roman" w:hAnsi="Times New Roman" w:cs="Times New Roman"/>
          <w:color w:val="0D0D14"/>
          <w:sz w:val="24"/>
          <w:szCs w:val="24"/>
          <w:lang w:bidi="he-IL"/>
        </w:rPr>
        <w:t xml:space="preserve"> 3.62).</w:t>
      </w:r>
      <w:r w:rsidR="00D85940">
        <w:rPr>
          <w:rStyle w:val="FootnoteReference"/>
          <w:rFonts w:ascii="Times New Roman" w:hAnsi="Times New Roman" w:cs="Times New Roman"/>
          <w:color w:val="0D0D14"/>
          <w:sz w:val="24"/>
          <w:szCs w:val="24"/>
          <w:lang w:bidi="he-IL"/>
        </w:rPr>
        <w:footnoteReference w:id="90"/>
      </w:r>
      <w:r w:rsidRPr="00F340A6">
        <w:rPr>
          <w:rFonts w:ascii="Times New Roman" w:hAnsi="Times New Roman" w:cs="Times New Roman"/>
          <w:color w:val="0D0D14"/>
          <w:sz w:val="24"/>
          <w:szCs w:val="24"/>
          <w:lang w:bidi="he-IL"/>
        </w:rPr>
        <w:t xml:space="preserve"> These philosophical instances corroborate the New Testament’s commendation of voluntary humility.</w:t>
      </w:r>
    </w:p>
    <w:p w14:paraId="4D1FA930" w14:textId="4A93FD9E"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Of the fourteen New Testament occurrences, four belong to Paul. In three of these, Paul speaks of abasing or humbling himself in the service of others (e.g., </w:t>
      </w:r>
      <w:r w:rsidRPr="00F340A6">
        <w:rPr>
          <w:rFonts w:ascii="Times New Roman" w:hAnsi="Times New Roman" w:cs="Times New Roman"/>
          <w:i/>
          <w:iCs/>
          <w:color w:val="0D0D14"/>
          <w:sz w:val="24"/>
          <w:szCs w:val="24"/>
          <w:lang w:bidi="he-IL"/>
        </w:rPr>
        <w:t>2 Cor. 11:7; 12:21; Phil. 4:12</w:t>
      </w:r>
      <w:r w:rsidRPr="00F340A6">
        <w:rPr>
          <w:rFonts w:ascii="Times New Roman" w:hAnsi="Times New Roman" w:cs="Times New Roman"/>
          <w:color w:val="0D0D14"/>
          <w:sz w:val="24"/>
          <w:szCs w:val="24"/>
          <w:lang w:bidi="he-IL"/>
        </w:rPr>
        <w:t xml:space="preserve">). In each instance, the humbling is voluntary, or at least expresses </w:t>
      </w:r>
      <w:r w:rsidRPr="00F340A6">
        <w:rPr>
          <w:rFonts w:ascii="Times New Roman" w:hAnsi="Times New Roman" w:cs="Times New Roman"/>
          <w:color w:val="0D0D14"/>
          <w:sz w:val="24"/>
          <w:szCs w:val="24"/>
          <w:lang w:bidi="he-IL"/>
        </w:rPr>
        <w:lastRenderedPageBreak/>
        <w:t>trust in God’s providence that brings about humility. However, only once, in the Christ Hymn, does the verb refer to the climactic self-humbling of Christ, which stands in deliberate contrast to the classical and extra-biblical negative sense of the word. In Paul’s theology, Christ’s greatness is revealed in His willing submission and obedience, even to the humiliating death of the cross.</w:t>
      </w:r>
    </w:p>
    <w:p w14:paraId="52AA7DC3" w14:textId="77777777" w:rsidR="00CE42D7" w:rsidRPr="00D650E7" w:rsidRDefault="00CE42D7" w:rsidP="00D650E7">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D650E7">
        <w:rPr>
          <w:rFonts w:ascii="Times New Roman" w:hAnsi="Times New Roman" w:cs="Times New Roman"/>
          <w:color w:val="0D0D14"/>
          <w:sz w:val="24"/>
          <w:szCs w:val="24"/>
          <w:lang w:bidi="he-IL"/>
        </w:rPr>
        <w:t>ὑπήκοος</w:t>
      </w:r>
    </w:p>
    <w:p w14:paraId="71A78E2F" w14:textId="3D1F1AAB"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adjective ὑπήκοος (</w:t>
      </w:r>
      <w:r w:rsidRPr="00F340A6">
        <w:rPr>
          <w:rFonts w:ascii="Times New Roman" w:hAnsi="Times New Roman" w:cs="Times New Roman"/>
          <w:i/>
          <w:iCs/>
          <w:color w:val="0D0D14"/>
          <w:sz w:val="24"/>
          <w:szCs w:val="24"/>
          <w:lang w:bidi="he-IL"/>
        </w:rPr>
        <w:t>hupēkoos</w:t>
      </w:r>
      <w:r w:rsidRPr="00F340A6">
        <w:rPr>
          <w:rFonts w:ascii="Times New Roman" w:hAnsi="Times New Roman" w:cs="Times New Roman"/>
          <w:color w:val="0D0D14"/>
          <w:sz w:val="24"/>
          <w:szCs w:val="24"/>
          <w:lang w:bidi="he-IL"/>
        </w:rPr>
        <w:t>) is derived from the verb ὑπακούω, meaning “to obey.” The adjective combines ὑπό and ἀκούω, literally denoting “one who listens under authority.”</w:t>
      </w:r>
      <w:r w:rsidR="00B87C8D">
        <w:rPr>
          <w:rStyle w:val="FootnoteReference"/>
          <w:rFonts w:ascii="Times New Roman" w:hAnsi="Times New Roman" w:cs="Times New Roman"/>
          <w:color w:val="0D0D14"/>
          <w:sz w:val="24"/>
          <w:szCs w:val="24"/>
          <w:lang w:bidi="he-IL"/>
        </w:rPr>
        <w:footnoteReference w:id="91"/>
      </w:r>
      <w:r w:rsidRPr="00F340A6">
        <w:rPr>
          <w:rFonts w:ascii="Times New Roman" w:hAnsi="Times New Roman" w:cs="Times New Roman"/>
          <w:color w:val="0D0D14"/>
          <w:sz w:val="24"/>
          <w:szCs w:val="24"/>
          <w:lang w:bidi="he-IL"/>
        </w:rPr>
        <w:t xml:space="preserve"> In classical and Hellenistic Greek, the term was often used to describe those in subjection or under command, such as soldiers, servants, or subjects of a ruler (</w:t>
      </w:r>
      <w:r w:rsidRPr="00F340A6">
        <w:rPr>
          <w:rFonts w:ascii="Times New Roman" w:hAnsi="Times New Roman" w:cs="Times New Roman"/>
          <w:i/>
          <w:iCs/>
          <w:color w:val="0D0D14"/>
          <w:sz w:val="24"/>
          <w:szCs w:val="24"/>
          <w:lang w:bidi="he-IL"/>
        </w:rPr>
        <w:t>Xenophon, Cyr.</w:t>
      </w:r>
      <w:r w:rsidRPr="00F340A6">
        <w:rPr>
          <w:rFonts w:ascii="Times New Roman" w:hAnsi="Times New Roman" w:cs="Times New Roman"/>
          <w:color w:val="0D0D14"/>
          <w:sz w:val="24"/>
          <w:szCs w:val="24"/>
          <w:lang w:bidi="he-IL"/>
        </w:rPr>
        <w:t xml:space="preserve"> 2.4.22; </w:t>
      </w:r>
      <w:r w:rsidRPr="00F340A6">
        <w:rPr>
          <w:rFonts w:ascii="Times New Roman" w:hAnsi="Times New Roman" w:cs="Times New Roman"/>
          <w:i/>
          <w:iCs/>
          <w:color w:val="0D0D14"/>
          <w:sz w:val="24"/>
          <w:szCs w:val="24"/>
          <w:lang w:bidi="he-IL"/>
        </w:rPr>
        <w:t>Hell.</w:t>
      </w:r>
      <w:r w:rsidRPr="00F340A6">
        <w:rPr>
          <w:rFonts w:ascii="Times New Roman" w:hAnsi="Times New Roman" w:cs="Times New Roman"/>
          <w:color w:val="0D0D14"/>
          <w:sz w:val="24"/>
          <w:szCs w:val="24"/>
          <w:lang w:bidi="he-IL"/>
        </w:rPr>
        <w:t xml:space="preserve"> 6.1.7).</w:t>
      </w:r>
      <w:r w:rsidR="00B87C8D">
        <w:rPr>
          <w:rStyle w:val="FootnoteReference"/>
          <w:rFonts w:ascii="Times New Roman" w:hAnsi="Times New Roman" w:cs="Times New Roman"/>
          <w:color w:val="0D0D14"/>
          <w:sz w:val="24"/>
          <w:szCs w:val="24"/>
          <w:lang w:bidi="he-IL"/>
        </w:rPr>
        <w:footnoteReference w:id="92"/>
      </w:r>
    </w:p>
    <w:p w14:paraId="4B66498F" w14:textId="725F99F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Septuagint, the term appears five times, typically describing subjects or servants who obey a ruler (</w:t>
      </w:r>
      <w:r w:rsidRPr="00F340A6">
        <w:rPr>
          <w:rFonts w:ascii="Times New Roman" w:hAnsi="Times New Roman" w:cs="Times New Roman"/>
          <w:i/>
          <w:iCs/>
          <w:color w:val="0D0D14"/>
          <w:sz w:val="24"/>
          <w:szCs w:val="24"/>
          <w:lang w:bidi="he-IL"/>
        </w:rPr>
        <w:t>Deut. 20:11; Josh. 17:13</w:t>
      </w:r>
      <w:r w:rsidRPr="00F340A6">
        <w:rPr>
          <w:rFonts w:ascii="Times New Roman" w:hAnsi="Times New Roman" w:cs="Times New Roman"/>
          <w:color w:val="0D0D14"/>
          <w:sz w:val="24"/>
          <w:szCs w:val="24"/>
          <w:lang w:bidi="he-IL"/>
        </w:rPr>
        <w:t>) or obedient children (</w:t>
      </w:r>
      <w:r w:rsidRPr="00F340A6">
        <w:rPr>
          <w:rFonts w:ascii="Times New Roman" w:hAnsi="Times New Roman" w:cs="Times New Roman"/>
          <w:i/>
          <w:iCs/>
          <w:color w:val="0D0D14"/>
          <w:sz w:val="24"/>
          <w:szCs w:val="24"/>
          <w:lang w:bidi="he-IL"/>
        </w:rPr>
        <w:t>Prov. 4:3; 13:1</w:t>
      </w:r>
      <w:r w:rsidRPr="00F340A6">
        <w:rPr>
          <w:rFonts w:ascii="Times New Roman" w:hAnsi="Times New Roman" w:cs="Times New Roman"/>
          <w:color w:val="0D0D14"/>
          <w:sz w:val="24"/>
          <w:szCs w:val="24"/>
          <w:lang w:bidi="he-IL"/>
        </w:rPr>
        <w:t>).</w:t>
      </w:r>
      <w:r w:rsidR="00B87C8D">
        <w:rPr>
          <w:rStyle w:val="FootnoteReference"/>
          <w:rFonts w:ascii="Times New Roman" w:hAnsi="Times New Roman" w:cs="Times New Roman"/>
          <w:color w:val="0D0D14"/>
          <w:sz w:val="24"/>
          <w:szCs w:val="24"/>
          <w:lang w:bidi="he-IL"/>
        </w:rPr>
        <w:footnoteReference w:id="93"/>
      </w:r>
      <w:r w:rsidRPr="00F340A6">
        <w:rPr>
          <w:rFonts w:ascii="Times New Roman" w:hAnsi="Times New Roman" w:cs="Times New Roman"/>
          <w:color w:val="0D0D14"/>
          <w:sz w:val="24"/>
          <w:szCs w:val="24"/>
          <w:lang w:bidi="he-IL"/>
        </w:rPr>
        <w:t xml:space="preserve"> In Scripture, however, in contrast to its classical usage, ὑπήκοος develops a covenantal nuance, linking obedience not merely to subjection but to faithful allegiance within a divine relationship.</w:t>
      </w:r>
    </w:p>
    <w:p w14:paraId="3D097FC9"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New Testament uses the adjective three times—once in the sense of covenantal obedience (</w:t>
      </w:r>
      <w:r w:rsidRPr="00F340A6">
        <w:rPr>
          <w:rFonts w:ascii="Times New Roman" w:hAnsi="Times New Roman" w:cs="Times New Roman"/>
          <w:i/>
          <w:iCs/>
          <w:color w:val="0D0D14"/>
          <w:sz w:val="24"/>
          <w:szCs w:val="24"/>
          <w:lang w:bidi="he-IL"/>
        </w:rPr>
        <w:t>Acts 7:39</w:t>
      </w:r>
      <w:r w:rsidRPr="00F340A6">
        <w:rPr>
          <w:rFonts w:ascii="Times New Roman" w:hAnsi="Times New Roman" w:cs="Times New Roman"/>
          <w:color w:val="0D0D14"/>
          <w:sz w:val="24"/>
          <w:szCs w:val="24"/>
          <w:lang w:bidi="he-IL"/>
        </w:rPr>
        <w:t>), once describing obedience to apostolic authority (</w:t>
      </w:r>
      <w:r w:rsidRPr="00F340A6">
        <w:rPr>
          <w:rFonts w:ascii="Times New Roman" w:hAnsi="Times New Roman" w:cs="Times New Roman"/>
          <w:i/>
          <w:iCs/>
          <w:color w:val="0D0D14"/>
          <w:sz w:val="24"/>
          <w:szCs w:val="24"/>
          <w:lang w:bidi="he-IL"/>
        </w:rPr>
        <w:t>2 Cor. 2:9</w:t>
      </w:r>
      <w:r w:rsidRPr="00F340A6">
        <w:rPr>
          <w:rFonts w:ascii="Times New Roman" w:hAnsi="Times New Roman" w:cs="Times New Roman"/>
          <w:color w:val="0D0D14"/>
          <w:sz w:val="24"/>
          <w:szCs w:val="24"/>
          <w:lang w:bidi="he-IL"/>
        </w:rPr>
        <w:t xml:space="preserve">), and finally in </w:t>
      </w:r>
      <w:r w:rsidRPr="00F340A6">
        <w:rPr>
          <w:rFonts w:ascii="Times New Roman" w:hAnsi="Times New Roman" w:cs="Times New Roman"/>
          <w:i/>
          <w:iCs/>
          <w:color w:val="0D0D14"/>
          <w:sz w:val="24"/>
          <w:szCs w:val="24"/>
          <w:lang w:bidi="he-IL"/>
        </w:rPr>
        <w:t>Philippians 2:8</w:t>
      </w:r>
      <w:r w:rsidRPr="00F340A6">
        <w:rPr>
          <w:rFonts w:ascii="Times New Roman" w:hAnsi="Times New Roman" w:cs="Times New Roman"/>
          <w:color w:val="0D0D14"/>
          <w:sz w:val="24"/>
          <w:szCs w:val="24"/>
          <w:lang w:bidi="he-IL"/>
        </w:rPr>
        <w:t>, where it refers to Christ’s obedience to the Father.</w:t>
      </w:r>
    </w:p>
    <w:p w14:paraId="0AB7B9C3" w14:textId="58A2F92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 xml:space="preserve">It is noteworthy that the adjective form is rare, with only three New Testament occurrences. The verb form ὑπακούω appears twenty-one times (e.g., </w:t>
      </w:r>
      <w:r w:rsidRPr="00F340A6">
        <w:rPr>
          <w:rFonts w:ascii="Times New Roman" w:hAnsi="Times New Roman" w:cs="Times New Roman"/>
          <w:i/>
          <w:iCs/>
          <w:color w:val="0D0D14"/>
          <w:sz w:val="24"/>
          <w:szCs w:val="24"/>
          <w:lang w:bidi="he-IL"/>
        </w:rPr>
        <w:t>Eph. 6:1,</w:t>
      </w:r>
      <w:r w:rsidRPr="00F340A6">
        <w:rPr>
          <w:rFonts w:ascii="Times New Roman" w:hAnsi="Times New Roman" w:cs="Times New Roman"/>
          <w:color w:val="0D0D14"/>
          <w:sz w:val="24"/>
          <w:szCs w:val="24"/>
          <w:lang w:bidi="he-IL"/>
        </w:rPr>
        <w:t xml:space="preserve"> “Children, obey your parents”), and the noun ὑπακοή occurs fifteen times (e.g., </w:t>
      </w:r>
      <w:r w:rsidRPr="00F340A6">
        <w:rPr>
          <w:rFonts w:ascii="Times New Roman" w:hAnsi="Times New Roman" w:cs="Times New Roman"/>
          <w:i/>
          <w:iCs/>
          <w:color w:val="0D0D14"/>
          <w:sz w:val="24"/>
          <w:szCs w:val="24"/>
          <w:lang w:bidi="he-IL"/>
        </w:rPr>
        <w:t>Rom. 1:5; 16:26,</w:t>
      </w:r>
      <w:r w:rsidRPr="00F340A6">
        <w:rPr>
          <w:rFonts w:ascii="Times New Roman" w:hAnsi="Times New Roman" w:cs="Times New Roman"/>
          <w:color w:val="0D0D14"/>
          <w:sz w:val="24"/>
          <w:szCs w:val="24"/>
          <w:lang w:bidi="he-IL"/>
        </w:rPr>
        <w:t xml:space="preserve"> </w:t>
      </w:r>
      <w:r w:rsidRPr="00F340A6">
        <w:rPr>
          <w:rFonts w:ascii="Times New Roman" w:hAnsi="Times New Roman" w:cs="Times New Roman"/>
          <w:i/>
          <w:iCs/>
          <w:color w:val="0D0D14"/>
          <w:sz w:val="24"/>
          <w:szCs w:val="24"/>
          <w:lang w:bidi="he-IL"/>
        </w:rPr>
        <w:t>ὑπακοὴ πίστεως</w:t>
      </w:r>
      <w:r w:rsidRPr="00F340A6">
        <w:rPr>
          <w:rFonts w:ascii="Times New Roman" w:hAnsi="Times New Roman" w:cs="Times New Roman"/>
          <w:color w:val="0D0D14"/>
          <w:sz w:val="24"/>
          <w:szCs w:val="24"/>
          <w:lang w:bidi="he-IL"/>
        </w:rPr>
        <w:t>, “obedience of faith”).</w:t>
      </w:r>
      <w:r w:rsidR="00B87C8D">
        <w:rPr>
          <w:rStyle w:val="FootnoteReference"/>
          <w:rFonts w:ascii="Times New Roman" w:hAnsi="Times New Roman" w:cs="Times New Roman"/>
          <w:color w:val="0D0D14"/>
          <w:sz w:val="24"/>
          <w:szCs w:val="24"/>
          <w:lang w:bidi="he-IL"/>
        </w:rPr>
        <w:footnoteReference w:id="94"/>
      </w:r>
      <w:r w:rsidRPr="00F340A6">
        <w:rPr>
          <w:rFonts w:ascii="Times New Roman" w:hAnsi="Times New Roman" w:cs="Times New Roman"/>
          <w:color w:val="0D0D14"/>
          <w:sz w:val="24"/>
          <w:szCs w:val="24"/>
          <w:lang w:bidi="he-IL"/>
        </w:rPr>
        <w:t>⁴ The adjective ὑπήκοος, therefore, highlights the obedient character of Christ Himself, emphasizing His perfect submission to the Father’s will.</w:t>
      </w:r>
    </w:p>
    <w:p w14:paraId="6AD64624" w14:textId="31E48DB5" w:rsidR="00CE42D7" w:rsidRPr="00B87C8D" w:rsidRDefault="00B87C8D" w:rsidP="000A5BFC">
      <w:pPr>
        <w:autoSpaceDE w:val="0"/>
        <w:autoSpaceDN w:val="0"/>
        <w:adjustRightInd w:val="0"/>
        <w:spacing w:before="360" w:after="0" w:line="240" w:lineRule="auto"/>
        <w:jc w:val="center"/>
        <w:rPr>
          <w:rFonts w:ascii="Times New Roman" w:hAnsi="Times New Roman" w:cs="Times New Roman"/>
          <w:b/>
          <w:bCs/>
          <w:color w:val="0D0D14"/>
          <w:sz w:val="24"/>
          <w:szCs w:val="24"/>
          <w:lang w:bidi="he-IL"/>
        </w:rPr>
      </w:pPr>
      <w:r w:rsidRPr="00B87C8D">
        <w:rPr>
          <w:rFonts w:ascii="Times New Roman" w:hAnsi="Times New Roman" w:cs="Times New Roman"/>
          <w:b/>
          <w:bCs/>
          <w:color w:val="0D0D14"/>
          <w:sz w:val="24"/>
          <w:szCs w:val="24"/>
          <w:lang w:bidi="he-IL"/>
        </w:rPr>
        <w:t>Exegetical Analysis</w:t>
      </w:r>
      <w:r>
        <w:rPr>
          <w:rFonts w:ascii="Times New Roman" w:hAnsi="Times New Roman" w:cs="Times New Roman"/>
          <w:b/>
          <w:bCs/>
          <w:color w:val="0D0D14"/>
          <w:sz w:val="24"/>
          <w:szCs w:val="24"/>
          <w:lang w:bidi="he-IL"/>
        </w:rPr>
        <w:t xml:space="preserve"> </w:t>
      </w:r>
      <w:r w:rsidRPr="00F340A6">
        <w:rPr>
          <w:rStyle w:val="Strong"/>
          <w:rFonts w:ascii="Times New Roman" w:hAnsi="Times New Roman" w:cs="Times New Roman"/>
          <w:sz w:val="24"/>
          <w:szCs w:val="24"/>
        </w:rPr>
        <w:t>of Philippians 2:1–11</w:t>
      </w:r>
    </w:p>
    <w:p w14:paraId="2E8F66B8" w14:textId="77777777" w:rsidR="00B87C8D" w:rsidRPr="00F340A6" w:rsidRDefault="00B87C8D" w:rsidP="0044269F">
      <w:pPr>
        <w:autoSpaceDE w:val="0"/>
        <w:autoSpaceDN w:val="0"/>
        <w:adjustRightInd w:val="0"/>
        <w:spacing w:after="0" w:line="240" w:lineRule="auto"/>
        <w:rPr>
          <w:rFonts w:ascii="Times New Roman" w:hAnsi="Times New Roman" w:cs="Times New Roman"/>
          <w:color w:val="0D0D14"/>
          <w:sz w:val="24"/>
          <w:szCs w:val="24"/>
          <w:lang w:bidi="he-IL"/>
        </w:rPr>
      </w:pPr>
    </w:p>
    <w:p w14:paraId="394DD5AE" w14:textId="77777777" w:rsidR="00CE42D7" w:rsidRPr="00B87C8D"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B87C8D">
        <w:rPr>
          <w:rFonts w:ascii="Times New Roman" w:hAnsi="Times New Roman" w:cs="Times New Roman"/>
          <w:color w:val="0D0D14"/>
          <w:sz w:val="24"/>
          <w:szCs w:val="24"/>
          <w:lang w:bidi="he-IL"/>
        </w:rPr>
        <w:t>2:1 Exegetical Summary</w:t>
      </w:r>
    </w:p>
    <w:p w14:paraId="7A0B3EC3" w14:textId="5C729AEB"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begins 2:1 by settling his following exhortation in some shared truths the believers in Philippi possess in Christ. Paul presents a series of first-class conditionals that, when assumed to be true, form the basis for the unity Paul wants. The connection to the preceding context is central for determining the flow of Paul's thought and emphasis.</w:t>
      </w:r>
      <w:r w:rsidR="007925A1">
        <w:rPr>
          <w:rStyle w:val="FootnoteReference"/>
          <w:rFonts w:ascii="Times New Roman" w:hAnsi="Times New Roman" w:cs="Times New Roman"/>
          <w:color w:val="0D0D14"/>
          <w:sz w:val="24"/>
          <w:szCs w:val="24"/>
          <w:lang w:bidi="he-IL"/>
        </w:rPr>
        <w:footnoteReference w:id="95"/>
      </w:r>
    </w:p>
    <w:p w14:paraId="1DEB0C63"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Connection to 1:30 or 1:27</w:t>
      </w:r>
    </w:p>
    <w:p w14:paraId="5D47007D" w14:textId="60C03853"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uses οὖν (“therefore”) to connect the following section to his previous argument in 1:27 or possibly 1:30, thereby revealing two possible emphases.</w:t>
      </w:r>
      <w:r w:rsidR="007925A1">
        <w:rPr>
          <w:rStyle w:val="FootnoteReference"/>
          <w:rFonts w:ascii="Times New Roman" w:hAnsi="Times New Roman" w:cs="Times New Roman"/>
          <w:color w:val="0D0D14"/>
          <w:sz w:val="24"/>
          <w:szCs w:val="24"/>
          <w:lang w:bidi="he-IL"/>
        </w:rPr>
        <w:footnoteReference w:id="96"/>
      </w:r>
      <w:r w:rsidRPr="00F340A6">
        <w:rPr>
          <w:rFonts w:ascii="Times New Roman" w:hAnsi="Times New Roman" w:cs="Times New Roman"/>
          <w:color w:val="0D0D14"/>
          <w:sz w:val="24"/>
          <w:szCs w:val="24"/>
          <w:lang w:bidi="he-IL"/>
        </w:rPr>
        <w:t xml:space="preserve"> If 1:27 is in view, then a dynamic translation might read, “Therefore, since you must live in a manner worthy of the Gospel,” to explicitly show the connection. However, if Paul’s </w:t>
      </w:r>
      <w:r w:rsidRPr="00F340A6">
        <w:rPr>
          <w:rFonts w:ascii="Times New Roman" w:hAnsi="Times New Roman" w:cs="Times New Roman"/>
          <w:color w:val="0D0D14"/>
          <w:sz w:val="24"/>
          <w:szCs w:val="24"/>
          <w:lang w:bidi="he-IL"/>
        </w:rPr>
        <w:lastRenderedPageBreak/>
        <w:t>intention is to connect with 1:30, the emphasis could be rendered, “Because you share the same struggles as I do.” Fee, along with many scholars, argues for the first interpretation, suggesting that "therefore" likely resumes Paul’s earlier appeal to unity rather than the discussion of suffering.</w:t>
      </w:r>
      <w:r w:rsidR="007925A1">
        <w:rPr>
          <w:rStyle w:val="FootnoteReference"/>
          <w:rFonts w:ascii="Times New Roman" w:hAnsi="Times New Roman" w:cs="Times New Roman"/>
          <w:color w:val="0D0D14"/>
          <w:sz w:val="24"/>
          <w:szCs w:val="24"/>
          <w:lang w:bidi="he-IL"/>
        </w:rPr>
        <w:footnoteReference w:id="97"/>
      </w:r>
    </w:p>
    <w:p w14:paraId="07EAA30A"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First-Class Conditionals or Independent Clauses</w:t>
      </w:r>
    </w:p>
    <w:p w14:paraId="4F7D7220" w14:textId="0AB7857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uses εἴ τις … εἴ τις …, a first-class conditional construction combined with the indefinite pronoun τις, to express that he assumes the reality of the protasis.</w:t>
      </w:r>
      <w:r w:rsidR="007925A1">
        <w:rPr>
          <w:rStyle w:val="FootnoteReference"/>
          <w:rFonts w:ascii="Times New Roman" w:hAnsi="Times New Roman" w:cs="Times New Roman"/>
          <w:color w:val="0D0D14"/>
          <w:sz w:val="24"/>
          <w:szCs w:val="24"/>
          <w:lang w:bidi="he-IL"/>
        </w:rPr>
        <w:footnoteReference w:id="98"/>
      </w:r>
      <w:r w:rsidRPr="00F340A6">
        <w:rPr>
          <w:rFonts w:ascii="Times New Roman" w:hAnsi="Times New Roman" w:cs="Times New Roman"/>
          <w:color w:val="0D0D14"/>
          <w:sz w:val="24"/>
          <w:szCs w:val="24"/>
          <w:lang w:bidi="he-IL"/>
        </w:rPr>
        <w:t xml:space="preserve"> In this instance, τις is used adjectivally and is translated here as </w:t>
      </w:r>
      <w:r w:rsidRPr="00F340A6">
        <w:rPr>
          <w:rFonts w:ascii="Times New Roman" w:hAnsi="Times New Roman" w:cs="Times New Roman"/>
          <w:i/>
          <w:iCs/>
          <w:color w:val="0D0D14"/>
          <w:sz w:val="24"/>
          <w:szCs w:val="24"/>
          <w:lang w:bidi="he-IL"/>
        </w:rPr>
        <w:t>any</w:t>
      </w:r>
      <w:r w:rsidRPr="00F340A6">
        <w:rPr>
          <w:rFonts w:ascii="Times New Roman" w:hAnsi="Times New Roman" w:cs="Times New Roman"/>
          <w:color w:val="0D0D14"/>
          <w:sz w:val="24"/>
          <w:szCs w:val="24"/>
          <w:lang w:bidi="he-IL"/>
        </w:rPr>
        <w:t>.</w:t>
      </w:r>
      <w:r w:rsidR="007925A1">
        <w:rPr>
          <w:rStyle w:val="FootnoteReference"/>
          <w:rFonts w:ascii="Times New Roman" w:hAnsi="Times New Roman" w:cs="Times New Roman"/>
          <w:color w:val="0D0D14"/>
          <w:sz w:val="24"/>
          <w:szCs w:val="24"/>
          <w:lang w:bidi="he-IL"/>
        </w:rPr>
        <w:footnoteReference w:id="99"/>
      </w:r>
      <w:r w:rsidRPr="00F340A6">
        <w:rPr>
          <w:rFonts w:ascii="Times New Roman" w:hAnsi="Times New Roman" w:cs="Times New Roman"/>
          <w:color w:val="0D0D14"/>
          <w:sz w:val="24"/>
          <w:szCs w:val="24"/>
          <w:lang w:bidi="he-IL"/>
        </w:rPr>
        <w:t>⁵ Even if the clauses are identified as conditionals, most interpreters, including Alford, Blomberg, Eadie, Mounce, and others, recognize that Paul uses the construction idiomatically.</w:t>
      </w:r>
      <w:r w:rsidR="007925A1">
        <w:rPr>
          <w:rStyle w:val="FootnoteReference"/>
          <w:rFonts w:ascii="Times New Roman" w:hAnsi="Times New Roman" w:cs="Times New Roman"/>
          <w:color w:val="0D0D14"/>
          <w:sz w:val="24"/>
          <w:szCs w:val="24"/>
          <w:lang w:bidi="he-IL"/>
        </w:rPr>
        <w:footnoteReference w:id="100"/>
      </w:r>
      <w:r w:rsidRPr="00F340A6">
        <w:rPr>
          <w:rFonts w:ascii="Times New Roman" w:hAnsi="Times New Roman" w:cs="Times New Roman"/>
          <w:color w:val="0D0D14"/>
          <w:sz w:val="24"/>
          <w:szCs w:val="24"/>
          <w:lang w:bidi="he-IL"/>
        </w:rPr>
        <w:t xml:space="preserve"> A more dynamic translation might therefore read, “Since there is encouragement in Christ, since there is comfort from love, since there is fellowship of the Spirit.” In this sense, Paul is not questioning whether these realities exist but is using them as the basis to exhort believers toward greater unity.</w:t>
      </w:r>
    </w:p>
    <w:p w14:paraId="24F5CB29" w14:textId="7C36503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However, a second interpretive option emerges concerning each apodosis. The Greek reader will observe that a verb must be implied to complete the sentence. In the previous option, only the verb ἐστίν (“to be”) is implied. Yet, a second possibility arises if the interpreter supplies a subjunctive form, ἔστω, so that the Greek would read: εἴ τις </w:t>
      </w:r>
      <w:r w:rsidRPr="00F340A6">
        <w:rPr>
          <w:rFonts w:ascii="Times New Roman" w:hAnsi="Times New Roman" w:cs="Times New Roman"/>
          <w:color w:val="0D0D14"/>
          <w:sz w:val="24"/>
          <w:szCs w:val="24"/>
          <w:lang w:bidi="he-IL"/>
        </w:rPr>
        <w:lastRenderedPageBreak/>
        <w:t>παράκλησις ἐν Χριστῷ, ἔστω, “If there is any encouragement in Christ, let it be so.” Depending on which verb is implied, the phrases could pivot from first-class conditionals (ἐστίν) to independent exhortative clauses (ἔστω).</w:t>
      </w:r>
      <w:r w:rsidR="007925A1">
        <w:rPr>
          <w:rStyle w:val="FootnoteReference"/>
          <w:rFonts w:ascii="Times New Roman" w:hAnsi="Times New Roman" w:cs="Times New Roman"/>
          <w:color w:val="0D0D14"/>
          <w:sz w:val="24"/>
          <w:szCs w:val="24"/>
          <w:lang w:bidi="he-IL"/>
        </w:rPr>
        <w:footnoteReference w:id="101"/>
      </w:r>
    </w:p>
    <w:p w14:paraId="047FB3D9" w14:textId="1DF7718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first choice is preferred, for if one implies ἔστω in these clauses, the following imperative phrase, πληρώσατέ μου τὴν χαράν (“fulfill my joy,” v. 2), feels unnecessary and disjointed. Thus, the independent-clause hypothesis is strained by the immediate context. Only when the “if” clauses are understood as true conditions does the logic maintain a smoother connection with Paul’s exhortation.</w:t>
      </w:r>
      <w:r w:rsidR="007925A1">
        <w:rPr>
          <w:rStyle w:val="FootnoteReference"/>
          <w:rFonts w:ascii="Times New Roman" w:hAnsi="Times New Roman" w:cs="Times New Roman"/>
          <w:color w:val="0D0D14"/>
          <w:sz w:val="24"/>
          <w:szCs w:val="24"/>
          <w:lang w:bidi="he-IL"/>
        </w:rPr>
        <w:footnoteReference w:id="102"/>
      </w:r>
    </w:p>
    <w:p w14:paraId="3223380A"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0C29B7EB" w14:textId="433E4C6B" w:rsidR="00CE42D7" w:rsidRPr="00F340A6" w:rsidRDefault="00CE42D7" w:rsidP="000A5BFC">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highlights the Philippians' shared experiences in Christ, which therefore serve as the basis for exhorting them to unity.</w:t>
      </w:r>
      <w:r w:rsidR="007925A1">
        <w:rPr>
          <w:rStyle w:val="FootnoteReference"/>
          <w:rFonts w:ascii="Times New Roman" w:hAnsi="Times New Roman" w:cs="Times New Roman"/>
          <w:color w:val="0D0D14"/>
          <w:sz w:val="24"/>
          <w:szCs w:val="24"/>
          <w:lang w:bidi="he-IL"/>
        </w:rPr>
        <w:footnoteReference w:id="103"/>
      </w:r>
      <w:r w:rsidRPr="00F340A6">
        <w:rPr>
          <w:rFonts w:ascii="Times New Roman" w:hAnsi="Times New Roman" w:cs="Times New Roman"/>
          <w:color w:val="0D0D14"/>
          <w:sz w:val="24"/>
          <w:szCs w:val="24"/>
          <w:lang w:bidi="he-IL"/>
        </w:rPr>
        <w:t xml:space="preserve"> The relationship between 2:1 and 1:27 reinforces that unity is not rooted in present circumstances or experiences, but rather in the ultimate truth of the Gospel, which precedes shared experiences of encouragement, love, and fellowship in the Spirit.</w:t>
      </w:r>
    </w:p>
    <w:p w14:paraId="2125BA06" w14:textId="48067E7C"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Philippians 2:1 establishes that the unity of the church comes from Spirit-given realities for those who believe in Christ's Gospel. Paul's argument depends on the reality of the blessings he mentions and prepares for the following call to have the same mind as Christ.</w:t>
      </w:r>
    </w:p>
    <w:p w14:paraId="3F5E4E33" w14:textId="77777777" w:rsidR="00CE42D7" w:rsidRPr="000A5BFC"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lastRenderedPageBreak/>
        <w:t>2:2 Exegetical Summary</w:t>
      </w:r>
    </w:p>
    <w:p w14:paraId="1FEAC216" w14:textId="1C7C62B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continues his appeal for unity by clarifying what fulfills his joy. The focus of the verse is centered on the function of the ἵνα clause and what it conveys. Understanding the syntactical force of ἵνα is a discussion between two chief options among scholarship, and is essential for grasping Paul's intent in urging the Philippians toward like-mindedness.</w:t>
      </w:r>
      <w:r w:rsidR="007925A1">
        <w:rPr>
          <w:rStyle w:val="FootnoteReference"/>
          <w:rFonts w:ascii="Times New Roman" w:hAnsi="Times New Roman" w:cs="Times New Roman"/>
          <w:color w:val="0D0D14"/>
          <w:sz w:val="24"/>
          <w:szCs w:val="24"/>
          <w:lang w:bidi="he-IL"/>
        </w:rPr>
        <w:footnoteReference w:id="104"/>
      </w:r>
    </w:p>
    <w:p w14:paraId="7103C35B"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Epexegetical or Purpose/Result ἵνα?</w:t>
      </w:r>
    </w:p>
    <w:p w14:paraId="386A5FF6" w14:textId="3EBEA63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 question arises concerning Paul’s use of ἵνα: (1) Is the emphasis on explaining how Paul’s joy is fulfilled (epexegetical), or (2) does it convey the result necessary for Paul’s joy to be fulfilled in a future sense?</w:t>
      </w:r>
      <w:r w:rsidR="007925A1">
        <w:rPr>
          <w:rStyle w:val="FootnoteReference"/>
          <w:rFonts w:ascii="Times New Roman" w:hAnsi="Times New Roman" w:cs="Times New Roman"/>
          <w:color w:val="0D0D14"/>
          <w:sz w:val="24"/>
          <w:szCs w:val="24"/>
          <w:lang w:bidi="he-IL"/>
        </w:rPr>
        <w:footnoteReference w:id="105"/>
      </w:r>
      <w:r w:rsidRPr="00F340A6">
        <w:rPr>
          <w:rFonts w:ascii="Times New Roman" w:hAnsi="Times New Roman" w:cs="Times New Roman"/>
          <w:color w:val="0D0D14"/>
          <w:sz w:val="24"/>
          <w:szCs w:val="24"/>
          <w:lang w:bidi="he-IL"/>
        </w:rPr>
        <w:t xml:space="preserve"> A more dynamic rendering of the first option would read, in effect, “You will make me rejoice if you are of the same mind,” or, “Fulfill my joy by being of the same mind.” If a translation were to stress the resultative nuance of the ἵνα clause, one might say, “Fulfill my joy in order that you may be of the same mind.” The first option defines the content of Paul’s joy, while the second expresses the condition required before it is fulfilled.</w:t>
      </w:r>
    </w:p>
    <w:p w14:paraId="1223D2DC" w14:textId="1FED954D"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Moisés Silva argues that the phrase does not indicate purpose but rather content; in other words, the epexegetical usage captures the sense of what Paul’s joy entails, namely, the Philippians’ unity.</w:t>
      </w:r>
      <w:r w:rsidR="007925A1">
        <w:rPr>
          <w:rStyle w:val="FootnoteReference"/>
          <w:rFonts w:ascii="Times New Roman" w:hAnsi="Times New Roman" w:cs="Times New Roman"/>
          <w:color w:val="0D0D14"/>
          <w:sz w:val="24"/>
          <w:szCs w:val="24"/>
          <w:lang w:bidi="he-IL"/>
        </w:rPr>
        <w:footnoteReference w:id="106"/>
      </w:r>
      <w:r w:rsidRPr="00F340A6">
        <w:rPr>
          <w:rFonts w:ascii="Times New Roman" w:hAnsi="Times New Roman" w:cs="Times New Roman"/>
          <w:color w:val="0D0D14"/>
          <w:sz w:val="24"/>
          <w:szCs w:val="24"/>
          <w:lang w:bidi="he-IL"/>
        </w:rPr>
        <w:t xml:space="preserve"> This paper agrees with Silva’s interpretation. However, rather than rendering the clause “by being like-minded,” as Silva commends,</w:t>
      </w:r>
      <w:r w:rsidR="0056215F">
        <w:rPr>
          <w:rStyle w:val="FootnoteReference"/>
          <w:rFonts w:ascii="Times New Roman" w:hAnsi="Times New Roman" w:cs="Times New Roman"/>
          <w:color w:val="0D0D14"/>
          <w:sz w:val="24"/>
          <w:szCs w:val="24"/>
          <w:lang w:bidi="he-IL"/>
        </w:rPr>
        <w:footnoteReference w:id="107"/>
      </w:r>
      <w:r w:rsidRPr="00F340A6">
        <w:rPr>
          <w:rFonts w:ascii="Times New Roman" w:hAnsi="Times New Roman" w:cs="Times New Roman"/>
          <w:color w:val="0D0D14"/>
          <w:sz w:val="24"/>
          <w:szCs w:val="24"/>
          <w:lang w:bidi="he-IL"/>
        </w:rPr>
        <w:t xml:space="preserve"> this study </w:t>
      </w:r>
      <w:r w:rsidRPr="00F340A6">
        <w:rPr>
          <w:rFonts w:ascii="Times New Roman" w:hAnsi="Times New Roman" w:cs="Times New Roman"/>
          <w:color w:val="0D0D14"/>
          <w:sz w:val="24"/>
          <w:szCs w:val="24"/>
          <w:lang w:bidi="he-IL"/>
        </w:rPr>
        <w:lastRenderedPageBreak/>
        <w:t>prefers “that you might be of the same mind.” This translation allows for a fully epexegetical understanding of the text while still preserving the possibility of a purpose or result nuance consistent with formal equivalence principles.</w:t>
      </w:r>
    </w:p>
    <w:p w14:paraId="035CFFBE"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21CBC9E2" w14:textId="3B65B11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uses the ἵνα clause to express that his joy is inseparable from the unity of the Church. Even in both nuances, unity is described as not optional for believers. Paul's joy represents Christ's priorities for the church. Andrew Knowles observes, “It is vital that Christians are united. This is all-important for their confidence, fellowship, and witness. Together, they can withstand any enemy, confronting their opponents with assurance and hope.”</w:t>
      </w:r>
      <w:r w:rsidR="0056215F">
        <w:rPr>
          <w:rStyle w:val="FootnoteReference"/>
          <w:rFonts w:ascii="Times New Roman" w:hAnsi="Times New Roman" w:cs="Times New Roman"/>
          <w:color w:val="0D0D14"/>
          <w:sz w:val="24"/>
          <w:szCs w:val="24"/>
          <w:lang w:bidi="he-IL"/>
        </w:rPr>
        <w:footnoteReference w:id="108"/>
      </w:r>
      <w:r w:rsidRPr="00F340A6">
        <w:rPr>
          <w:rFonts w:ascii="Times New Roman" w:hAnsi="Times New Roman" w:cs="Times New Roman"/>
          <w:color w:val="0D0D14"/>
          <w:sz w:val="24"/>
          <w:szCs w:val="24"/>
          <w:lang w:bidi="he-IL"/>
        </w:rPr>
        <w:t xml:space="preserve"> In the struggle for the Philippian church's identity and survival in the Roman Empire, unity in Christ is essential. Philippians 2:2 thus serves as a hinge between shared Gospel realities (v. 1) and Christ's humility (vv. 5–11).</w:t>
      </w:r>
    </w:p>
    <w:p w14:paraId="14DB5AFB" w14:textId="77777777" w:rsidR="00CE42D7" w:rsidRPr="000A5BFC"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t>2:3 Exegetical Summary</w:t>
      </w:r>
    </w:p>
    <w:p w14:paraId="3E3E0EB9" w14:textId="3B384231"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continues his call to unity now with what Moule calls a “forceful” elliptical negative construction that clarifies the sort of unity Paul desires for the Philippians.</w:t>
      </w:r>
      <w:r w:rsidR="0056215F">
        <w:rPr>
          <w:rStyle w:val="FootnoteReference"/>
          <w:rFonts w:ascii="Times New Roman" w:hAnsi="Times New Roman" w:cs="Times New Roman"/>
          <w:color w:val="0D0D14"/>
          <w:sz w:val="24"/>
          <w:szCs w:val="24"/>
          <w:lang w:bidi="he-IL"/>
        </w:rPr>
        <w:footnoteReference w:id="109"/>
      </w:r>
      <w:r w:rsidRPr="00F340A6">
        <w:rPr>
          <w:rFonts w:ascii="Times New Roman" w:hAnsi="Times New Roman" w:cs="Times New Roman"/>
          <w:color w:val="0D0D14"/>
          <w:sz w:val="24"/>
          <w:szCs w:val="24"/>
          <w:lang w:bidi="he-IL"/>
        </w:rPr>
        <w:t xml:space="preserve"> The elliptical expression requires the interpreter to supply a verb to complete it, leading to multiple possibilities. Understanding which verb best completes the sentence helps readers determine what Paul expects of them.</w:t>
      </w:r>
    </w:p>
    <w:p w14:paraId="1FDB00F7"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lastRenderedPageBreak/>
        <w:t>Supplying a Verb to an Elliptical Sentence</w:t>
      </w:r>
    </w:p>
    <w:p w14:paraId="2FC0C18C" w14:textId="49EAA06D"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Philippians 2:3 begins with an accusative, neuter, singular adjective, μηδέν (“nothing”), followed by an elliptical κατὰ + accusative expression. Hellerman note</w:t>
      </w:r>
      <w:r w:rsidR="00E71CE4">
        <w:rPr>
          <w:rFonts w:ascii="Times New Roman" w:hAnsi="Times New Roman" w:cs="Times New Roman"/>
          <w:color w:val="0D0D14"/>
          <w:sz w:val="24"/>
          <w:szCs w:val="24"/>
          <w:lang w:bidi="he-IL"/>
        </w:rPr>
        <w:t>s</w:t>
      </w:r>
      <w:r w:rsidRPr="00F340A6">
        <w:rPr>
          <w:rFonts w:ascii="Times New Roman" w:hAnsi="Times New Roman" w:cs="Times New Roman"/>
          <w:color w:val="0D0D14"/>
          <w:sz w:val="24"/>
          <w:szCs w:val="24"/>
          <w:lang w:bidi="he-IL"/>
        </w:rPr>
        <w:t xml:space="preserve"> that such constructions “forcibly draw attention to its absoluteness.”</w:t>
      </w:r>
      <w:r w:rsidR="0056215F">
        <w:rPr>
          <w:rStyle w:val="FootnoteReference"/>
          <w:rFonts w:ascii="Times New Roman" w:hAnsi="Times New Roman" w:cs="Times New Roman"/>
          <w:color w:val="0D0D14"/>
          <w:sz w:val="24"/>
          <w:szCs w:val="24"/>
          <w:lang w:bidi="he-IL"/>
        </w:rPr>
        <w:footnoteReference w:id="110"/>
      </w:r>
      <w:r w:rsidRPr="00F340A6">
        <w:rPr>
          <w:rFonts w:ascii="Times New Roman" w:hAnsi="Times New Roman" w:cs="Times New Roman"/>
          <w:color w:val="0D0D14"/>
          <w:sz w:val="24"/>
          <w:szCs w:val="24"/>
          <w:lang w:bidi="he-IL"/>
        </w:rPr>
        <w:t xml:space="preserve"> Therefore, a verb must be supplied to render the clause smoothly in English. Several options exist for the implied verb.</w:t>
      </w:r>
    </w:p>
    <w:p w14:paraId="46E69B66" w14:textId="572025FC"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(1) φρονοῦντες (“thinking”), the participle from verse 2, could be supplied, producing the translation “Thinking nothing according to selfish ambition.” This option would create a balance between two participles separated by ἀλλά, thus rendering the English, “Thinking nothing … but regarding one another.”</w:t>
      </w:r>
      <w:r w:rsidR="0056215F">
        <w:rPr>
          <w:rStyle w:val="FootnoteReference"/>
          <w:rFonts w:ascii="Times New Roman" w:hAnsi="Times New Roman" w:cs="Times New Roman"/>
          <w:color w:val="0D0D14"/>
          <w:sz w:val="24"/>
          <w:szCs w:val="24"/>
          <w:lang w:bidi="he-IL"/>
        </w:rPr>
        <w:footnoteReference w:id="111"/>
      </w:r>
    </w:p>
    <w:p w14:paraId="4F8E787F" w14:textId="587F2185" w:rsidR="0056215F"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(2) A second option is to supply an imperative verb such as ποιεῖτε (“you do!”) or the infinitive ποιεῖν (“doing nothing”).</w:t>
      </w:r>
      <w:r w:rsidR="0056215F">
        <w:rPr>
          <w:rStyle w:val="FootnoteReference"/>
          <w:rFonts w:ascii="Times New Roman" w:hAnsi="Times New Roman" w:cs="Times New Roman"/>
          <w:color w:val="0D0D14"/>
          <w:sz w:val="24"/>
          <w:szCs w:val="24"/>
          <w:lang w:bidi="he-IL"/>
        </w:rPr>
        <w:footnoteReference w:id="112"/>
      </w:r>
      <w:r w:rsidRPr="00F340A6">
        <w:rPr>
          <w:rFonts w:ascii="Times New Roman" w:hAnsi="Times New Roman" w:cs="Times New Roman"/>
          <w:color w:val="0D0D14"/>
          <w:sz w:val="24"/>
          <w:szCs w:val="24"/>
          <w:lang w:bidi="he-IL"/>
        </w:rPr>
        <w:t xml:space="preserve"> If Hellerman</w:t>
      </w:r>
      <w:r w:rsidR="00E71CE4">
        <w:rPr>
          <w:rFonts w:ascii="Times New Roman" w:hAnsi="Times New Roman" w:cs="Times New Roman"/>
          <w:color w:val="0D0D14"/>
          <w:sz w:val="24"/>
          <w:szCs w:val="24"/>
          <w:lang w:bidi="he-IL"/>
        </w:rPr>
        <w:t xml:space="preserve">’s </w:t>
      </w:r>
      <w:r w:rsidRPr="00F340A6">
        <w:rPr>
          <w:rFonts w:ascii="Times New Roman" w:hAnsi="Times New Roman" w:cs="Times New Roman"/>
          <w:color w:val="0D0D14"/>
          <w:sz w:val="24"/>
          <w:szCs w:val="24"/>
          <w:lang w:bidi="he-IL"/>
        </w:rPr>
        <w:t>observations are correct, the imperative fits best and aligns with most English translations, and it is the choice of this analysis.</w:t>
      </w:r>
    </w:p>
    <w:p w14:paraId="2E3891BD" w14:textId="7C4C6401"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(3) A final option would insert πράσσετε (“act”), rendering “Act not according to selfish ambition.”</w:t>
      </w:r>
      <w:r w:rsidR="000A5BFC">
        <w:rPr>
          <w:rStyle w:val="FootnoteReference"/>
          <w:rFonts w:ascii="Times New Roman" w:hAnsi="Times New Roman" w:cs="Times New Roman"/>
          <w:color w:val="0D0D14"/>
          <w:sz w:val="24"/>
          <w:szCs w:val="24"/>
          <w:lang w:bidi="he-IL"/>
        </w:rPr>
        <w:footnoteReference w:id="113"/>
      </w:r>
      <w:r w:rsidR="0056215F">
        <w:rPr>
          <w:rFonts w:ascii="Times New Roman" w:hAnsi="Times New Roman" w:cs="Times New Roman"/>
          <w:color w:val="0D0D14"/>
          <w:sz w:val="24"/>
          <w:szCs w:val="24"/>
          <w:lang w:bidi="he-IL"/>
        </w:rPr>
        <w:t xml:space="preserve"> </w:t>
      </w:r>
      <w:r w:rsidRPr="00F340A6">
        <w:rPr>
          <w:rFonts w:ascii="Times New Roman" w:hAnsi="Times New Roman" w:cs="Times New Roman"/>
          <w:color w:val="0D0D14"/>
          <w:sz w:val="24"/>
          <w:szCs w:val="24"/>
          <w:lang w:bidi="he-IL"/>
        </w:rPr>
        <w:t>This option conveys a similar nuance to the imperative but emphasizes motive-driven action. A dynamic rendering might read, “Never act from selfish motives or the desire for praise.”</w:t>
      </w:r>
      <w:r w:rsidR="0056215F">
        <w:rPr>
          <w:rFonts w:ascii="Times New Roman" w:hAnsi="Times New Roman" w:cs="Times New Roman"/>
          <w:color w:val="0D0D14"/>
          <w:sz w:val="24"/>
          <w:szCs w:val="24"/>
          <w:lang w:bidi="he-IL"/>
        </w:rPr>
        <w:t xml:space="preserve"> </w:t>
      </w:r>
    </w:p>
    <w:p w14:paraId="4B3BC724"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This paper assumes the second option, the imperative, as it best preserves the idiomatic flow for English readers while adding as little as possible to the Greek text.</w:t>
      </w:r>
    </w:p>
    <w:p w14:paraId="4F5394DB"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lastRenderedPageBreak/>
        <w:t>Interpretive / Theological Significance</w:t>
      </w:r>
    </w:p>
    <w:p w14:paraId="54827B29" w14:textId="217634D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Considering the importance of boasting in one’s accolades in Roman culture, this strong negative command underscores how incompatible Christian unity can be in secular culture. The positive form of the command, to consider others before self in humility, requires Gospel transformation that overcomes previously held value systems regarding suffering, humility, and servanthood. As Hellerman notes, “Humility became a defining concept for Christian ethics, the singular virtue that, more than any other, distinguished Christian social values from their pagan counterparts.”</w:t>
      </w:r>
      <w:r w:rsidR="0056215F">
        <w:rPr>
          <w:rStyle w:val="FootnoteReference"/>
          <w:rFonts w:ascii="Times New Roman" w:hAnsi="Times New Roman" w:cs="Times New Roman"/>
          <w:color w:val="0D0D14"/>
          <w:sz w:val="24"/>
          <w:szCs w:val="24"/>
          <w:lang w:bidi="he-IL"/>
        </w:rPr>
        <w:footnoteReference w:id="114"/>
      </w:r>
    </w:p>
    <w:p w14:paraId="2CBBB96D"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Thus, Philippians 2:3 confronts the root of division by rejecting selfish ambition and boasting, and elevating humility as a Gospel-shaped virtue. Paul’s negation is forceful, making the issue non-negotiable and essential for the church’s survival. These verses prepare the reader for Jesus’ example as the ultimate divine revelation of virtuous humility.</w:t>
      </w:r>
    </w:p>
    <w:p w14:paraId="6225DE5E" w14:textId="5B9143F1" w:rsidR="00CE42D7" w:rsidRPr="000A5BFC"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t>2:4 Exegetical Summary</w:t>
      </w:r>
    </w:p>
    <w:p w14:paraId="61D0A9EB" w14:textId="1870650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continues his description of Christian humility by expanding how believers relate to the needs of others. Verse 4 focuses on the participle σκοποῦντες, and whether or not it modifies the unity statement of 2:2 or the humility exhortation of 2:3. As Joseph Exell observes, the function of the verse serves to clarify how humility should be practiced in the community. “This is but a practical application of sentiments and dispositions already enforced.”</w:t>
      </w:r>
      <w:r w:rsidR="00546B43">
        <w:rPr>
          <w:rStyle w:val="FootnoteReference"/>
          <w:rFonts w:ascii="Times New Roman" w:hAnsi="Times New Roman" w:cs="Times New Roman"/>
          <w:color w:val="0D0D14"/>
          <w:sz w:val="24"/>
          <w:szCs w:val="24"/>
          <w:lang w:bidi="he-IL"/>
        </w:rPr>
        <w:footnoteReference w:id="115"/>
      </w:r>
    </w:p>
    <w:p w14:paraId="0F432070"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lastRenderedPageBreak/>
        <w:t>The Function of the Participle</w:t>
      </w:r>
    </w:p>
    <w:p w14:paraId="1D40277B"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participle σκοποῦντες (“looking, considering”) in Philippians 2:4 shows some syntactic flexibility. The interpreter must determine how the word connects to the preceding clauses in 2:2 and 2:3. (1) If the participle is tied to 2:2, it further elaborates on what it means to “be of the same mind.” (2) On the other hand, if it follows 2:3, it explains how to obey the exhortation to “regard one another as better than oneself.” The second option is preferred because it shows how humility is demonstrated.</w:t>
      </w:r>
    </w:p>
    <w:p w14:paraId="02D42158" w14:textId="4516C7DB"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As the word study portion of this paper noted, Paul repurposed the word ταπεινοφροσύνη (“humility”), which was generally understood negatively and not valued as a virtue in Greco-Roman society. With this in mind, and given the proximity of verse 3, the participle is warranted to explain further how Christian humility is exhibited. Fee states in his commentary, “Here is how he elsewhere describes those whose behavior is genuinely Christian: they ‘do not seek their own good, but that of others.’”</w:t>
      </w:r>
      <w:r w:rsidR="00546B43">
        <w:rPr>
          <w:rStyle w:val="FootnoteReference"/>
          <w:rFonts w:ascii="Times New Roman" w:hAnsi="Times New Roman" w:cs="Times New Roman"/>
          <w:color w:val="0D0D14"/>
          <w:sz w:val="24"/>
          <w:szCs w:val="24"/>
          <w:lang w:bidi="he-IL"/>
        </w:rPr>
        <w:footnoteReference w:id="116"/>
      </w:r>
      <w:r w:rsidRPr="00F340A6">
        <w:rPr>
          <w:rFonts w:ascii="Times New Roman" w:hAnsi="Times New Roman" w:cs="Times New Roman"/>
          <w:color w:val="0D0D14"/>
          <w:sz w:val="24"/>
          <w:szCs w:val="24"/>
          <w:lang w:bidi="he-IL"/>
        </w:rPr>
        <w:t xml:space="preserve"> Thus, the participle σκοποῦντες is an explanatory participle describing how believers are to view others as more important than themselves. Rather than beginning a new sentence or a new line of thought, Paul continues to elaborate on the nature of humility, which few in his audience would have easily understood.</w:t>
      </w:r>
    </w:p>
    <w:p w14:paraId="06034F9B" w14:textId="77777777" w:rsidR="000A5BFC" w:rsidRDefault="000A5BFC" w:rsidP="0044269F">
      <w:pPr>
        <w:autoSpaceDE w:val="0"/>
        <w:autoSpaceDN w:val="0"/>
        <w:adjustRightInd w:val="0"/>
        <w:spacing w:after="0" w:line="480" w:lineRule="auto"/>
        <w:rPr>
          <w:rFonts w:ascii="Times New Roman" w:hAnsi="Times New Roman" w:cs="Times New Roman"/>
          <w:b/>
          <w:bCs/>
          <w:color w:val="0D0D14"/>
          <w:sz w:val="24"/>
          <w:szCs w:val="24"/>
          <w:lang w:bidi="he-IL"/>
        </w:rPr>
      </w:pPr>
    </w:p>
    <w:p w14:paraId="1F0FE70A" w14:textId="177BDE13" w:rsidR="00CE42D7" w:rsidRPr="00E00B0C" w:rsidRDefault="00CE42D7" w:rsidP="00E00B0C">
      <w:pPr>
        <w:autoSpaceDE w:val="0"/>
        <w:autoSpaceDN w:val="0"/>
        <w:adjustRightInd w:val="0"/>
        <w:spacing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401F3BB5" w14:textId="50EFF8D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Paul's use of σκοποῦντες teaches that humility is an active orientation and consideration of the needs of others. In light of the strong command in 2:3, Paul shows humility that expresses itself through intentional, selfless concern. In a culture where </w:t>
      </w:r>
      <w:r w:rsidRPr="00F340A6">
        <w:rPr>
          <w:rFonts w:ascii="Times New Roman" w:hAnsi="Times New Roman" w:cs="Times New Roman"/>
          <w:color w:val="0D0D14"/>
          <w:sz w:val="24"/>
          <w:szCs w:val="24"/>
          <w:lang w:bidi="he-IL"/>
        </w:rPr>
        <w:lastRenderedPageBreak/>
        <w:t>honor was grasped and seized upon, Paul redefines humility as a virtue seeking the well-being of the community rather than personal ambition. But, as Fee states in respect to this verse, “This passage, as wonderful as it is, does not stand on its own.”</w:t>
      </w:r>
      <w:r w:rsidR="00546B43">
        <w:rPr>
          <w:rStyle w:val="FootnoteReference"/>
          <w:rFonts w:ascii="Times New Roman" w:hAnsi="Times New Roman" w:cs="Times New Roman"/>
          <w:color w:val="0D0D14"/>
          <w:sz w:val="24"/>
          <w:szCs w:val="24"/>
          <w:lang w:bidi="he-IL"/>
        </w:rPr>
        <w:footnoteReference w:id="117"/>
      </w:r>
      <w:r w:rsidRPr="00F340A6">
        <w:rPr>
          <w:rFonts w:ascii="Times New Roman" w:hAnsi="Times New Roman" w:cs="Times New Roman"/>
          <w:color w:val="0D0D14"/>
          <w:sz w:val="24"/>
          <w:szCs w:val="24"/>
          <w:lang w:bidi="he-IL"/>
        </w:rPr>
        <w:t xml:space="preserve"> Paul moves to portray Christ’s perfect example of humility to model what he has been urging so far.</w:t>
      </w:r>
    </w:p>
    <w:p w14:paraId="67867244" w14:textId="77777777" w:rsidR="00CE42D7" w:rsidRPr="000A5BFC"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t>2:5 Exegetical Summary</w:t>
      </w:r>
    </w:p>
    <w:p w14:paraId="2BDA89C0" w14:textId="3AFEE01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Paul transitions his exhortation to a Christological illustration of humility that he wants the Philippian Christians to model. </w:t>
      </w:r>
      <w:r w:rsidR="00E71CE4">
        <w:rPr>
          <w:rFonts w:ascii="Times New Roman" w:hAnsi="Times New Roman" w:cs="Times New Roman"/>
          <w:color w:val="0D0D14"/>
          <w:sz w:val="24"/>
          <w:szCs w:val="24"/>
          <w:lang w:bidi="he-IL"/>
        </w:rPr>
        <w:t>Fee</w:t>
      </w:r>
      <w:r w:rsidRPr="00F340A6">
        <w:rPr>
          <w:rFonts w:ascii="Times New Roman" w:hAnsi="Times New Roman" w:cs="Times New Roman"/>
          <w:color w:val="0D0D14"/>
          <w:sz w:val="24"/>
          <w:szCs w:val="24"/>
          <w:lang w:bidi="he-IL"/>
        </w:rPr>
        <w:t xml:space="preserve"> states that the verse begins with emphatic τοῦτο.</w:t>
      </w:r>
      <w:r w:rsidR="00546B43">
        <w:rPr>
          <w:rStyle w:val="FootnoteReference"/>
          <w:rFonts w:ascii="Times New Roman" w:hAnsi="Times New Roman" w:cs="Times New Roman"/>
          <w:color w:val="0D0D14"/>
          <w:sz w:val="24"/>
          <w:szCs w:val="24"/>
          <w:lang w:bidi="he-IL"/>
        </w:rPr>
        <w:footnoteReference w:id="118"/>
      </w:r>
      <w:r w:rsidRPr="00F340A6">
        <w:rPr>
          <w:rFonts w:ascii="Times New Roman" w:hAnsi="Times New Roman" w:cs="Times New Roman"/>
          <w:color w:val="0D0D14"/>
          <w:sz w:val="24"/>
          <w:szCs w:val="24"/>
          <w:lang w:bidi="he-IL"/>
        </w:rPr>
        <w:t xml:space="preserve"> Determining what the pronoun is substituting for directs readers to the purpose of Christ's Hymn that follows.</w:t>
      </w:r>
    </w:p>
    <w:p w14:paraId="1EF0BC12"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The Function of τοῦτο</w:t>
      </w:r>
    </w:p>
    <w:p w14:paraId="146BC3B3" w14:textId="0F1ACE1C"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begins Philippians 2:5 with τοῦτο (“this”), and the question is whether τοῦτο refers back to verses 1–4, which could be understood as, “Keep thinking in this way that I have just described,” or whether Paul is referring forward to verses 6–11, meaning, “You should adopt this mindset illustrated in Christ.”</w:t>
      </w:r>
      <w:r w:rsidR="005A6C86">
        <w:rPr>
          <w:rStyle w:val="FootnoteReference"/>
          <w:rFonts w:ascii="Times New Roman" w:hAnsi="Times New Roman" w:cs="Times New Roman"/>
          <w:color w:val="0D0D14"/>
          <w:sz w:val="24"/>
          <w:szCs w:val="24"/>
          <w:lang w:bidi="he-IL"/>
        </w:rPr>
        <w:footnoteReference w:id="119"/>
      </w:r>
      <w:r w:rsidRPr="00F340A6">
        <w:rPr>
          <w:rFonts w:ascii="Times New Roman" w:hAnsi="Times New Roman" w:cs="Times New Roman"/>
          <w:color w:val="0D0D14"/>
          <w:sz w:val="24"/>
          <w:szCs w:val="24"/>
          <w:lang w:bidi="he-IL"/>
        </w:rPr>
        <w:t xml:space="preserve"> The situation warrants discussion alongside the textual variant mentioned in this paper, namely, the possible addition of γάρ after τοῦτο. If γάρ is original, there would be no ambiguity, since τοῦτο would clearly point back to the preceding verses.</w:t>
      </w:r>
    </w:p>
    <w:p w14:paraId="053F769C" w14:textId="1D8EA169"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Hellerman, along with R. P. Martin and Gerald F. Hawthorne, considers γάρ to be “a most unnecessary addition,” yet still maintains that τοῦτο most naturally refers back to </w:t>
      </w:r>
      <w:r w:rsidRPr="00F340A6">
        <w:rPr>
          <w:rFonts w:ascii="Times New Roman" w:hAnsi="Times New Roman" w:cs="Times New Roman"/>
          <w:color w:val="0D0D14"/>
          <w:sz w:val="24"/>
          <w:szCs w:val="24"/>
          <w:lang w:bidi="he-IL"/>
        </w:rPr>
        <w:lastRenderedPageBreak/>
        <w:t>verses 1–4.</w:t>
      </w:r>
      <w:r w:rsidR="00546B43">
        <w:rPr>
          <w:rStyle w:val="FootnoteReference"/>
          <w:rFonts w:ascii="Times New Roman" w:hAnsi="Times New Roman" w:cs="Times New Roman"/>
          <w:color w:val="0D0D14"/>
          <w:sz w:val="24"/>
          <w:szCs w:val="24"/>
          <w:lang w:bidi="he-IL"/>
        </w:rPr>
        <w:footnoteReference w:id="120"/>
      </w:r>
      <w:r w:rsidRPr="00F340A6">
        <w:rPr>
          <w:rFonts w:ascii="Times New Roman" w:hAnsi="Times New Roman" w:cs="Times New Roman"/>
          <w:color w:val="0D0D14"/>
          <w:sz w:val="24"/>
          <w:szCs w:val="24"/>
          <w:lang w:bidi="he-IL"/>
        </w:rPr>
        <w:t xml:space="preserve"> </w:t>
      </w:r>
      <w:r w:rsidR="00E71CE4">
        <w:rPr>
          <w:rFonts w:ascii="Times New Roman" w:hAnsi="Times New Roman" w:cs="Times New Roman"/>
          <w:color w:val="0D0D14"/>
          <w:sz w:val="24"/>
          <w:szCs w:val="24"/>
          <w:lang w:bidi="he-IL"/>
        </w:rPr>
        <w:t>Fee</w:t>
      </w:r>
      <w:r w:rsidRPr="00F340A6">
        <w:rPr>
          <w:rFonts w:ascii="Times New Roman" w:hAnsi="Times New Roman" w:cs="Times New Roman"/>
          <w:color w:val="0D0D14"/>
          <w:sz w:val="24"/>
          <w:szCs w:val="24"/>
          <w:lang w:bidi="he-IL"/>
        </w:rPr>
        <w:t xml:space="preserve"> also insists the pronoun looks back: “this, which is best understood as pointing backward, in this case to vv. 2–4.”</w:t>
      </w:r>
      <w:r w:rsidR="005A6C86">
        <w:rPr>
          <w:rStyle w:val="FootnoteReference"/>
          <w:rFonts w:ascii="Times New Roman" w:hAnsi="Times New Roman" w:cs="Times New Roman"/>
          <w:color w:val="0D0D14"/>
          <w:sz w:val="24"/>
          <w:szCs w:val="24"/>
          <w:lang w:bidi="he-IL"/>
        </w:rPr>
        <w:footnoteReference w:id="121"/>
      </w:r>
      <w:r w:rsidRPr="00F340A6">
        <w:rPr>
          <w:rFonts w:ascii="Times New Roman" w:hAnsi="Times New Roman" w:cs="Times New Roman"/>
          <w:color w:val="0D0D14"/>
          <w:sz w:val="24"/>
          <w:szCs w:val="24"/>
          <w:lang w:bidi="he-IL"/>
        </w:rPr>
        <w:t xml:space="preserve"> Many commentators, however, understand τοῦτο as a transitional term linking both the preceding exhortation and the Christ Hymn that follows. Richard Melick writes, “Paul introduced the hymn to Christ by looking both backward and forward. Looking back, he picked up the theme of the proper attitude which he commended in 2:2 (with the word ‘like-minded’) and 2:3 (with the word ‘considered,’ also found in 2:6). Looking ahead, Paul anticipated the epitome of the humble mindset in Jesus.”</w:t>
      </w:r>
      <w:r w:rsidR="00224331">
        <w:rPr>
          <w:rStyle w:val="FootnoteReference"/>
          <w:rFonts w:ascii="Times New Roman" w:hAnsi="Times New Roman" w:cs="Times New Roman"/>
          <w:color w:val="0D0D14"/>
          <w:sz w:val="24"/>
          <w:szCs w:val="24"/>
          <w:lang w:bidi="he-IL"/>
        </w:rPr>
        <w:footnoteReference w:id="122"/>
      </w:r>
    </w:p>
    <w:p w14:paraId="6EB5E435"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former view is to be preferred, pointing back to vv. 2–4. While Melick's conclusions are logical, “this” seems more plausible to be substituting for something that has already been described or for something that has already been established in context, hence the regular use of pronouns. Given the construction ὃ καὶ ἐν Χριστῷ Ἰησοῦ, with the relative pronoun (“which”) at the head, the transition is completed naturally. With this phrasing, it makes little difference whether γάρ is original, since the syntax itself leads the reader smoothly into Christ’s example of humility without introducing a new topic.</w:t>
      </w:r>
    </w:p>
    <w:p w14:paraId="31C74918" w14:textId="77777777" w:rsidR="000A5BFC" w:rsidRDefault="000A5BFC" w:rsidP="0044269F">
      <w:pPr>
        <w:autoSpaceDE w:val="0"/>
        <w:autoSpaceDN w:val="0"/>
        <w:adjustRightInd w:val="0"/>
        <w:spacing w:after="0" w:line="480" w:lineRule="auto"/>
        <w:rPr>
          <w:rFonts w:ascii="Times New Roman" w:hAnsi="Times New Roman" w:cs="Times New Roman"/>
          <w:b/>
          <w:bCs/>
          <w:color w:val="0D0D14"/>
          <w:sz w:val="24"/>
          <w:szCs w:val="24"/>
          <w:lang w:bidi="he-IL"/>
        </w:rPr>
      </w:pPr>
    </w:p>
    <w:p w14:paraId="5300C588" w14:textId="59587682" w:rsidR="00CE42D7" w:rsidRPr="00E00B0C" w:rsidRDefault="00CE42D7" w:rsidP="00E00B0C">
      <w:pPr>
        <w:autoSpaceDE w:val="0"/>
        <w:autoSpaceDN w:val="0"/>
        <w:adjustRightInd w:val="0"/>
        <w:spacing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6F5F0347" w14:textId="7FE76071"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By linking the Philippians' minds to the mind of Christ, Paul sets the precedent for Christian application of the Gospel in everyday life. In this case, Gospel humility is valued highly in contrast to the servile and negative connotations of humiliation in </w:t>
      </w:r>
      <w:r w:rsidRPr="00F340A6">
        <w:rPr>
          <w:rFonts w:ascii="Times New Roman" w:hAnsi="Times New Roman" w:cs="Times New Roman"/>
          <w:color w:val="0D0D14"/>
          <w:sz w:val="24"/>
          <w:szCs w:val="24"/>
          <w:lang w:bidi="he-IL"/>
        </w:rPr>
        <w:lastRenderedPageBreak/>
        <w:t>Roman culture. Yet, Christian humility is not merely a grander kind of subjective moralism, but a truth grounded in the immutable character of Christ. Moule stated, “The spiritual and eternal, in deep continuity, descends into the practical.”</w:t>
      </w:r>
      <w:r w:rsidR="00224331">
        <w:rPr>
          <w:rStyle w:val="FootnoteReference"/>
          <w:rFonts w:ascii="Times New Roman" w:hAnsi="Times New Roman" w:cs="Times New Roman"/>
          <w:color w:val="0D0D14"/>
          <w:sz w:val="24"/>
          <w:szCs w:val="24"/>
          <w:lang w:bidi="he-IL"/>
        </w:rPr>
        <w:footnoteReference w:id="123"/>
      </w:r>
      <w:r w:rsidRPr="00F340A6">
        <w:rPr>
          <w:rFonts w:ascii="Times New Roman" w:hAnsi="Times New Roman" w:cs="Times New Roman"/>
          <w:color w:val="0D0D14"/>
          <w:sz w:val="24"/>
          <w:szCs w:val="24"/>
          <w:lang w:bidi="he-IL"/>
        </w:rPr>
        <w:t xml:space="preserve"> Thus, Philippians 2:5 serves as a pivotal turning point, connecting ethical instruction to the Christ Hymn, where the fullest expression of divine humility is displayed in the Gospel of Jesus Christ.</w:t>
      </w:r>
    </w:p>
    <w:p w14:paraId="2B0DAFD5" w14:textId="77777777" w:rsidR="00CE42D7" w:rsidRPr="000A5BFC" w:rsidRDefault="00CE42D7" w:rsidP="000A5BF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t>2:6–7 Exegetical Summary</w:t>
      </w:r>
    </w:p>
    <w:p w14:paraId="471F4D94" w14:textId="21817280"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begins by presenting Christ's pre-incarnate and divine state, expressed through the participle ὑπάρχων, “in contrasted opposition to”</w:t>
      </w:r>
      <w:r w:rsidR="00224331">
        <w:rPr>
          <w:rStyle w:val="FootnoteReference"/>
          <w:rFonts w:ascii="Times New Roman" w:hAnsi="Times New Roman" w:cs="Times New Roman"/>
          <w:color w:val="0D0D14"/>
          <w:sz w:val="24"/>
          <w:szCs w:val="24"/>
          <w:lang w:bidi="he-IL"/>
        </w:rPr>
        <w:footnoteReference w:id="124"/>
      </w:r>
      <w:r w:rsidRPr="00F340A6">
        <w:rPr>
          <w:rFonts w:ascii="Times New Roman" w:hAnsi="Times New Roman" w:cs="Times New Roman"/>
          <w:color w:val="0D0D14"/>
          <w:sz w:val="24"/>
          <w:szCs w:val="24"/>
          <w:lang w:bidi="he-IL"/>
        </w:rPr>
        <w:t xml:space="preserve"> the depths of humility Christ descended as man, as a servant, and then as one who suffers the humiliation of the cross. The participle is followed by a debated clause, οὐχ ἁρπαγμὸν ἡγήσατο τὸ εἶναι ἴσα θεῷ, which raises grammatical and theological questions concerning Christ's equal nature with God and his voluntary refusal to exploit that equality. These issues are important to shape the appreciation of the greatness of Christ's self-emptying in verse 7.</w:t>
      </w:r>
    </w:p>
    <w:p w14:paraId="104B6C5F" w14:textId="77777777" w:rsidR="00CE42D7" w:rsidRPr="000A5BF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0A5BFC">
        <w:rPr>
          <w:rFonts w:ascii="Times New Roman" w:hAnsi="Times New Roman" w:cs="Times New Roman"/>
          <w:color w:val="0D0D14"/>
          <w:sz w:val="24"/>
          <w:szCs w:val="24"/>
          <w:lang w:bidi="he-IL"/>
        </w:rPr>
        <w:t>The Participle ὑπάρχων</w:t>
      </w:r>
    </w:p>
    <w:p w14:paraId="388937E7"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Philippians 2:6, the participle ὑπάρχων ("to be") modifies the subject ὃς (“who”) and is followed by the main verb ἡγήσατο (“he considered”). Four interpretive options for the participle are discussed among scholars, with one prevailing view.</w:t>
      </w:r>
    </w:p>
    <w:p w14:paraId="3F80A422" w14:textId="4660A94D" w:rsidR="00CE42D7" w:rsidRPr="00F340A6" w:rsidRDefault="00CE42D7" w:rsidP="00E00B0C">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(1) The majority view among scholars is that the participle is concessive, implying the main verb ἡγήσατο (“he considered”) is true despite Jesus "being" in the </w:t>
      </w:r>
      <w:r w:rsidRPr="00F340A6">
        <w:rPr>
          <w:rFonts w:ascii="Times New Roman" w:hAnsi="Times New Roman" w:cs="Times New Roman"/>
          <w:color w:val="0D0D14"/>
          <w:sz w:val="24"/>
          <w:szCs w:val="24"/>
          <w:lang w:bidi="he-IL"/>
        </w:rPr>
        <w:lastRenderedPageBreak/>
        <w:t>form of God.</w:t>
      </w:r>
      <w:r w:rsidR="00224331">
        <w:rPr>
          <w:rStyle w:val="FootnoteReference"/>
          <w:rFonts w:ascii="Times New Roman" w:hAnsi="Times New Roman" w:cs="Times New Roman"/>
          <w:color w:val="0D0D14"/>
          <w:sz w:val="24"/>
          <w:szCs w:val="24"/>
          <w:lang w:bidi="he-IL"/>
        </w:rPr>
        <w:footnoteReference w:id="125"/>
      </w:r>
      <w:r w:rsidRPr="00F340A6">
        <w:rPr>
          <w:rFonts w:ascii="Times New Roman" w:hAnsi="Times New Roman" w:cs="Times New Roman"/>
          <w:color w:val="0D0D14"/>
          <w:sz w:val="24"/>
          <w:szCs w:val="24"/>
          <w:lang w:bidi="he-IL"/>
        </w:rPr>
        <w:t xml:space="preserve"> Though the majority holds this view, it does not come without its grammatical problems. Wallace raises a point: if the participle is concessive, then the following verb must mean "a thing to be grasped," rendering the English as "Although being in the form of God, did not consider being equal with God something to be seized upon." The nuance in this option is that Christ's divine nature did not lead him to seize an advantage over humanity. However, he could have done so easily. Forrester argues that ἁρπαγμός, if translated as "grasping," needs an object for this translation to be possible.</w:t>
      </w:r>
      <w:r w:rsidR="00224331">
        <w:rPr>
          <w:rStyle w:val="FootnoteReference"/>
          <w:rFonts w:ascii="Times New Roman" w:hAnsi="Times New Roman" w:cs="Times New Roman"/>
          <w:color w:val="0D0D14"/>
          <w:sz w:val="24"/>
          <w:szCs w:val="24"/>
          <w:lang w:bidi="he-IL"/>
        </w:rPr>
        <w:footnoteReference w:id="126"/>
      </w:r>
      <w:r w:rsidRPr="00F340A6">
        <w:rPr>
          <w:rFonts w:ascii="Times New Roman" w:hAnsi="Times New Roman" w:cs="Times New Roman"/>
          <w:color w:val="0D0D14"/>
          <w:sz w:val="24"/>
          <w:szCs w:val="24"/>
          <w:lang w:bidi="he-IL"/>
        </w:rPr>
        <w:t xml:space="preserve"> Wallace retorts by looking ahead, saying, “[the verse] must be seen in light of the positive statement in v 7, 'but he emptied himself' (the participle ὑπάρχων equally depends on both ἡγήσατο and ἐκένωσεν).”</w:t>
      </w:r>
      <w:r w:rsidR="00224331">
        <w:rPr>
          <w:rStyle w:val="FootnoteReference"/>
          <w:rFonts w:ascii="Times New Roman" w:hAnsi="Times New Roman" w:cs="Times New Roman"/>
          <w:color w:val="0D0D14"/>
          <w:sz w:val="24"/>
          <w:szCs w:val="24"/>
          <w:lang w:bidi="he-IL"/>
        </w:rPr>
        <w:footnoteReference w:id="127"/>
      </w:r>
    </w:p>
    <w:p w14:paraId="4D09DDEC" w14:textId="01F95E4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(2) However, if option two is correct and the participle is causal, then ἡγήσατο must mean "robbery,"</w:t>
      </w:r>
      <w:r w:rsidR="00224331">
        <w:rPr>
          <w:rStyle w:val="FootnoteReference"/>
          <w:rFonts w:ascii="Times New Roman" w:hAnsi="Times New Roman" w:cs="Times New Roman"/>
          <w:color w:val="0D0D14"/>
          <w:sz w:val="24"/>
          <w:szCs w:val="24"/>
          <w:lang w:bidi="he-IL"/>
        </w:rPr>
        <w:footnoteReference w:id="128"/>
      </w:r>
      <w:r w:rsidRPr="00F340A6">
        <w:rPr>
          <w:rFonts w:ascii="Times New Roman" w:hAnsi="Times New Roman" w:cs="Times New Roman"/>
          <w:color w:val="0D0D14"/>
          <w:sz w:val="24"/>
          <w:szCs w:val="24"/>
          <w:lang w:bidi="he-IL"/>
        </w:rPr>
        <w:t xml:space="preserve"> rendering the English as, “Because he existed in the form of God, he did not consider it robbery to be equal with God.” The nuance in this view shifts slightly to say that it is precisely because He is divine that He expressed his deity by emptying Himself.</w:t>
      </w:r>
    </w:p>
    <w:p w14:paraId="6884712E" w14:textId="144211A4" w:rsidR="00CE42D7" w:rsidRPr="00F340A6" w:rsidRDefault="00CE42D7" w:rsidP="000A5BFC">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(3) A third, less heavily discussed option is the possibility of a temporal participle, "when". This option shifts the nuance to depict the divine Christ in his pre-incarnate state.</w:t>
      </w:r>
      <w:r w:rsidR="00224331">
        <w:rPr>
          <w:rStyle w:val="FootnoteReference"/>
          <w:rFonts w:ascii="Times New Roman" w:hAnsi="Times New Roman" w:cs="Times New Roman"/>
          <w:color w:val="0D0D14"/>
          <w:sz w:val="24"/>
          <w:szCs w:val="24"/>
          <w:lang w:bidi="he-IL"/>
        </w:rPr>
        <w:footnoteReference w:id="129"/>
      </w:r>
      <w:r w:rsidRPr="00F340A6">
        <w:rPr>
          <w:rFonts w:ascii="Times New Roman" w:hAnsi="Times New Roman" w:cs="Times New Roman"/>
          <w:color w:val="0D0D14"/>
          <w:sz w:val="24"/>
          <w:szCs w:val="24"/>
          <w:lang w:bidi="he-IL"/>
        </w:rPr>
        <w:t xml:space="preserve"> Although grammatically possible, it lacks other temporal indicators (like ὅτε).</w:t>
      </w:r>
    </w:p>
    <w:p w14:paraId="3BF6E6AD" w14:textId="7A07BBA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(4) A final view held by commentators in the last century argues for a neutral participle, making the phrase into a mere statement rather than a form of logic for argument.</w:t>
      </w:r>
      <w:r w:rsidR="00224331">
        <w:rPr>
          <w:rStyle w:val="FootnoteReference"/>
          <w:rFonts w:ascii="Times New Roman" w:hAnsi="Times New Roman" w:cs="Times New Roman"/>
          <w:color w:val="0D0D14"/>
          <w:sz w:val="24"/>
          <w:szCs w:val="24"/>
          <w:lang w:bidi="he-IL"/>
        </w:rPr>
        <w:footnoteReference w:id="130"/>
      </w:r>
      <w:r w:rsidRPr="00F340A6">
        <w:rPr>
          <w:rFonts w:ascii="Times New Roman" w:hAnsi="Times New Roman" w:cs="Times New Roman"/>
          <w:color w:val="0D0D14"/>
          <w:sz w:val="24"/>
          <w:szCs w:val="24"/>
          <w:lang w:bidi="he-IL"/>
        </w:rPr>
        <w:t xml:space="preserve"> The English translation may be rendered, “Who existed in the form of God, did not consider being equal with God...” Most interpreters today regard the participle as concessive (“although he existed in the form of God”). Before researching other commentators or translations, this analysis's independent study concluded that a concessive participle is the preferred interpretation.</w:t>
      </w:r>
    </w:p>
    <w:p w14:paraId="09FC4315"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Equal or Not Equal?</w:t>
      </w:r>
    </w:p>
    <w:p w14:paraId="5C25C6C1" w14:textId="01057E6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clause οὐχ ἁρπαγμὸν ἡγήσατο τὸ εἶναι ἴσα θεῷ (“He did not consider being equal with God something to be seized upon”) in Philippians 2:6 presents an opportunity for debate among scholars that branches into two primary positions. The first interpretation holds that Christ was already equal with God, while the second claims that Christ was not yet equal with God.</w:t>
      </w:r>
      <w:r w:rsidR="0099337C">
        <w:rPr>
          <w:rStyle w:val="FootnoteReference"/>
          <w:rFonts w:ascii="Times New Roman" w:hAnsi="Times New Roman" w:cs="Times New Roman"/>
          <w:color w:val="0D0D14"/>
          <w:sz w:val="24"/>
          <w:szCs w:val="24"/>
          <w:lang w:bidi="he-IL"/>
        </w:rPr>
        <w:footnoteReference w:id="131"/>
      </w:r>
    </w:p>
    <w:p w14:paraId="3046C364" w14:textId="2E79585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(1) In the first view, the accusative noun ἁρπαγμὸν (“something to be seized”) is taken in the sense that Jesus was already divine. Therefore, a more dynamic rendering might read, “Although He already existed in the form of God, He did not regard being equal with God as something to be exploited.” The logic of this view fits well with verse 7, where Christ instead “emptied Himself.” Roger Ellsworth explains the theological importance of Christ’s pre-incarnate divine state: “God cannot cease to be God. He rather laid aside the glories and riches of heaven and ‘the independent exercise of authority’ and </w:t>
      </w:r>
      <w:r w:rsidRPr="00F340A6">
        <w:rPr>
          <w:rFonts w:ascii="Times New Roman" w:hAnsi="Times New Roman" w:cs="Times New Roman"/>
          <w:color w:val="0D0D14"/>
          <w:sz w:val="24"/>
          <w:szCs w:val="24"/>
          <w:lang w:bidi="he-IL"/>
        </w:rPr>
        <w:lastRenderedPageBreak/>
        <w:t>added our humanity to his deity so he was at one and the same time fully God and fully man.”</w:t>
      </w:r>
      <w:r w:rsidR="0099337C">
        <w:rPr>
          <w:rStyle w:val="FootnoteReference"/>
          <w:rFonts w:ascii="Times New Roman" w:hAnsi="Times New Roman" w:cs="Times New Roman"/>
          <w:color w:val="0D0D14"/>
          <w:sz w:val="24"/>
          <w:szCs w:val="24"/>
          <w:lang w:bidi="he-IL"/>
        </w:rPr>
        <w:footnoteReference w:id="132"/>
      </w:r>
      <w:r w:rsidRPr="00F340A6">
        <w:rPr>
          <w:rFonts w:ascii="Times New Roman" w:hAnsi="Times New Roman" w:cs="Times New Roman"/>
          <w:color w:val="0D0D14"/>
          <w:sz w:val="24"/>
          <w:szCs w:val="24"/>
          <w:lang w:bidi="he-IL"/>
        </w:rPr>
        <w:t xml:space="preserve"> In this sense, the clause expresses Christ’s voluntary renunciation of privilege and, as Ellsworth notes, the independent use of authority.</w:t>
      </w:r>
    </w:p>
    <w:p w14:paraId="33E830EE" w14:textId="0133291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(2) The second view states, “On earth, he was not fully equal with God, but he did not desire to seize that equality for himself. ... He was not willing to use his miraculous powers to force men to recognize him as God, but rather submitted to death and resurrection as the means for securing this recognition. ... It was the equality that he received at his exaltation that is in view here.”</w:t>
      </w:r>
      <w:r w:rsidR="0099337C">
        <w:rPr>
          <w:rStyle w:val="FootnoteReference"/>
          <w:rFonts w:ascii="Times New Roman" w:hAnsi="Times New Roman" w:cs="Times New Roman"/>
          <w:color w:val="0D0D14"/>
          <w:sz w:val="24"/>
          <w:szCs w:val="24"/>
          <w:lang w:bidi="he-IL"/>
        </w:rPr>
        <w:footnoteReference w:id="133"/>
      </w:r>
      <w:r w:rsidRPr="00F340A6">
        <w:rPr>
          <w:rFonts w:ascii="Times New Roman" w:hAnsi="Times New Roman" w:cs="Times New Roman"/>
          <w:color w:val="0D0D14"/>
          <w:sz w:val="24"/>
          <w:szCs w:val="24"/>
          <w:lang w:bidi="he-IL"/>
        </w:rPr>
        <w:t xml:space="preserve"> This analysis finds agreement with those in the first view. Hellerman states, “Although there remain a few vocal dissenters, current scholarly consensus takes ἁρπαγμόν in our passage in [the] sense ... Christ’s equality with God ... is something Christ possessed and chose not to exploit.”</w:t>
      </w:r>
      <w:r w:rsidR="00531A2C">
        <w:rPr>
          <w:rStyle w:val="FootnoteReference"/>
          <w:rFonts w:ascii="Times New Roman" w:hAnsi="Times New Roman" w:cs="Times New Roman"/>
          <w:color w:val="0D0D14"/>
          <w:sz w:val="24"/>
          <w:szCs w:val="24"/>
          <w:lang w:bidi="he-IL"/>
        </w:rPr>
        <w:footnoteReference w:id="134"/>
      </w:r>
      <w:r w:rsidRPr="00F340A6">
        <w:rPr>
          <w:rFonts w:ascii="Times New Roman" w:hAnsi="Times New Roman" w:cs="Times New Roman"/>
          <w:color w:val="0D0D14"/>
          <w:sz w:val="24"/>
          <w:szCs w:val="24"/>
          <w:lang w:bidi="he-IL"/>
        </w:rPr>
        <w:t xml:space="preserve"> A more dynamic English translation may capture this nuance as: “He did not consider equality with God to be something to be exploited.”</w:t>
      </w:r>
    </w:p>
    <w:p w14:paraId="2A61B2EA" w14:textId="6DD5E3E6"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E00B0C">
        <w:rPr>
          <w:rFonts w:ascii="Times New Roman" w:hAnsi="Times New Roman" w:cs="Times New Roman"/>
          <w:color w:val="000000"/>
          <w:sz w:val="24"/>
          <w:szCs w:val="24"/>
          <w:lang w:bidi="he-IL"/>
        </w:rPr>
        <w:t>The Meaning of ἐκένωσεν and the Nature of the Self-Emptying</w:t>
      </w:r>
    </w:p>
    <w:p w14:paraId="011994B3" w14:textId="5187F07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 key verb in verse 7, ἐκένωσεν (ekenōsen), means “to empty” or “divest of prestige.”</w:t>
      </w:r>
      <w:r w:rsidR="00531A2C">
        <w:rPr>
          <w:rStyle w:val="FootnoteReference"/>
          <w:rFonts w:ascii="Times New Roman" w:hAnsi="Times New Roman" w:cs="Times New Roman"/>
          <w:color w:val="0D0D14"/>
          <w:sz w:val="24"/>
          <w:szCs w:val="24"/>
          <w:lang w:bidi="he-IL"/>
        </w:rPr>
        <w:footnoteReference w:id="135"/>
      </w:r>
      <w:r w:rsidRPr="00F340A6">
        <w:rPr>
          <w:rFonts w:ascii="Times New Roman" w:hAnsi="Times New Roman" w:cs="Times New Roman"/>
          <w:color w:val="0D0D14"/>
          <w:sz w:val="24"/>
          <w:szCs w:val="24"/>
          <w:lang w:bidi="he-IL"/>
        </w:rPr>
        <w:t xml:space="preserve"> This presents an interpretive question: Did Christ empty Himself by subtracting or losing a divine quality, or did He empty Himself by adding servanthood and humanity?</w:t>
      </w:r>
      <w:r w:rsidR="00531A2C">
        <w:rPr>
          <w:rStyle w:val="FootnoteReference"/>
          <w:rFonts w:ascii="Times New Roman" w:hAnsi="Times New Roman" w:cs="Times New Roman"/>
          <w:color w:val="0D0D14"/>
          <w:sz w:val="24"/>
          <w:szCs w:val="24"/>
          <w:lang w:bidi="he-IL"/>
        </w:rPr>
        <w:footnoteReference w:id="136"/>
      </w:r>
      <w:r w:rsidRPr="00F340A6">
        <w:rPr>
          <w:rFonts w:ascii="Times New Roman" w:hAnsi="Times New Roman" w:cs="Times New Roman"/>
          <w:color w:val="0D0D14"/>
          <w:sz w:val="24"/>
          <w:szCs w:val="24"/>
          <w:lang w:bidi="he-IL"/>
        </w:rPr>
        <w:t xml:space="preserve"> The answer determines how one understands the incarnation and humility of Christ as Paul presents them.</w:t>
      </w:r>
    </w:p>
    <w:p w14:paraId="0428CC7A" w14:textId="3CD542D5"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(1) John Barry’s commentary captures the subtractive view by saying, “Jesus laid aside His rights as God,”</w:t>
      </w:r>
      <w:r w:rsidR="00531A2C">
        <w:rPr>
          <w:rStyle w:val="FootnoteReference"/>
          <w:rFonts w:ascii="Times New Roman" w:hAnsi="Times New Roman" w:cs="Times New Roman"/>
          <w:color w:val="0D0D14"/>
          <w:sz w:val="24"/>
          <w:szCs w:val="24"/>
          <w:lang w:bidi="he-IL"/>
        </w:rPr>
        <w:footnoteReference w:id="137"/>
      </w:r>
      <w:r w:rsidRPr="00F340A6">
        <w:rPr>
          <w:rFonts w:ascii="Times New Roman" w:hAnsi="Times New Roman" w:cs="Times New Roman"/>
          <w:color w:val="0D0D14"/>
          <w:sz w:val="24"/>
          <w:szCs w:val="24"/>
          <w:lang w:bidi="he-IL"/>
        </w:rPr>
        <w:t xml:space="preserve"> giving up or at least restraining the divine qualities He already possessed. This view is clarified by noting that Christ’s divinity was not diminished; rather, He accepted limitation and veiled His glory.</w:t>
      </w:r>
    </w:p>
    <w:p w14:paraId="25304056" w14:textId="797B25FE"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(2) The addition view observes the allusion to Isaiah 53:12 in the clause immediately following κένωσεν: μορφὴν δούλου λαβών (“by taking on the form of a slave”). In Isaiah, the Suffering Servant “pours out his life,” and so Paul’s allusion is thought to mean that Jesus took on the form of the Suffering Servant.</w:t>
      </w:r>
      <w:r w:rsidR="00531A2C">
        <w:rPr>
          <w:rStyle w:val="FootnoteReference"/>
          <w:rFonts w:ascii="Times New Roman" w:hAnsi="Times New Roman" w:cs="Times New Roman"/>
          <w:color w:val="0D0D14"/>
          <w:sz w:val="24"/>
          <w:szCs w:val="24"/>
          <w:lang w:bidi="he-IL"/>
        </w:rPr>
        <w:footnoteReference w:id="138"/>
      </w:r>
      <w:r w:rsidRPr="00F340A6">
        <w:rPr>
          <w:rFonts w:ascii="Times New Roman" w:hAnsi="Times New Roman" w:cs="Times New Roman"/>
          <w:color w:val="0D0D14"/>
          <w:sz w:val="24"/>
          <w:szCs w:val="24"/>
          <w:lang w:bidi="he-IL"/>
        </w:rPr>
        <w:t xml:space="preserve"> Craig Keener clarifies this emptying, stating that it occurred not at the incarnation but at Christ’s death.</w:t>
      </w:r>
      <w:r w:rsidR="00D47593">
        <w:rPr>
          <w:rStyle w:val="FootnoteReference"/>
          <w:rFonts w:ascii="Times New Roman" w:hAnsi="Times New Roman" w:cs="Times New Roman"/>
          <w:color w:val="0D0D14"/>
          <w:sz w:val="24"/>
          <w:szCs w:val="24"/>
          <w:lang w:bidi="he-IL"/>
        </w:rPr>
        <w:footnoteReference w:id="139"/>
      </w:r>
      <w:r w:rsidRPr="00F340A6">
        <w:rPr>
          <w:rFonts w:ascii="Times New Roman" w:hAnsi="Times New Roman" w:cs="Times New Roman"/>
          <w:color w:val="0D0D14"/>
          <w:sz w:val="24"/>
          <w:szCs w:val="24"/>
          <w:lang w:bidi="he-IL"/>
        </w:rPr>
        <w:t xml:space="preserve"> Yet Christ’s death is only made possible by the incarnation, that is, by the addition of a human body and the humility that accompanies it.</w:t>
      </w:r>
    </w:p>
    <w:p w14:paraId="53725027" w14:textId="18C924F3"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second view is to be preferred grammatically because ἐταπείνωσεν in verse 8 and ἐκένωσεν in verse 7 form a parallel pair, emphasizing Christ’s humility and self-giving rather than a metaphysical change or restraint of divine power. The second view is also stronger theologically because it safeguards the immutability of Christ’s divine nature, showing that true divinity is revealed through serving, giving, and humility rather than by relinquishing power. The allusion to Isaiah further supports this view, since Paul elsewhere in Philippians alludes to Isaiah. Thus, the interpretation that Christ assumed the form of the Suffering Servant and “poured Himself out” in death is most convincing.</w:t>
      </w:r>
      <w:r w:rsidR="00D47593">
        <w:rPr>
          <w:rStyle w:val="FootnoteReference"/>
          <w:rFonts w:ascii="Times New Roman" w:hAnsi="Times New Roman" w:cs="Times New Roman"/>
          <w:color w:val="0D0D14"/>
          <w:sz w:val="24"/>
          <w:szCs w:val="24"/>
          <w:lang w:bidi="he-IL"/>
        </w:rPr>
        <w:footnoteReference w:id="140"/>
      </w:r>
    </w:p>
    <w:p w14:paraId="6379B7D1"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lastRenderedPageBreak/>
        <w:t>The Language of Christ's Incarnation</w:t>
      </w:r>
    </w:p>
    <w:p w14:paraId="4F8DA9FC" w14:textId="77777777" w:rsidR="00CE42D7" w:rsidRPr="00F340A6" w:rsidRDefault="00CE42D7" w:rsidP="0067397D">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three clauses in v.7, μορφὴν δούλου (“form of a slave”), ἐν ὁμοιώματι ἀνθρώπων (“in the likeness of men”), and σχήματι ὡς ἄνθρωπος (“in appearance as a man”), describe how Christ emptied Himself (v. 7) and how far He descended (v. 8). Together, these terms support the doctrines of incarnation and divine servanthood, countering the many heresies that have arisen over two millennia.</w:t>
      </w:r>
    </w:p>
    <w:p w14:paraId="08BF1951" w14:textId="17305A3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first phrase, Christ’s objective was to “take the form of a slave” (μορφὴν δούλου). This was not a loss of divinity, nor was it a temporary disguise. Christ is truly God and truly a servant (v. 7).</w:t>
      </w:r>
      <w:r w:rsidR="00D47593">
        <w:rPr>
          <w:rStyle w:val="FootnoteReference"/>
          <w:rFonts w:ascii="Times New Roman" w:hAnsi="Times New Roman" w:cs="Times New Roman"/>
          <w:color w:val="0D0D14"/>
          <w:sz w:val="24"/>
          <w:szCs w:val="24"/>
          <w:lang w:bidi="he-IL"/>
        </w:rPr>
        <w:footnoteReference w:id="141"/>
      </w:r>
    </w:p>
    <w:p w14:paraId="3F981626" w14:textId="39CD21FE"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second phrase, the dative noun ὁμοίωμα conveys full humanity, meaning that Jesus was human from head to toe, while at the same time the word “likeness” preserves the truth of His divine self. He was not merely a man but the God-man. His likeness was not just an appearance of humanity but full humanity itself.</w:t>
      </w:r>
      <w:r w:rsidR="00D47593">
        <w:rPr>
          <w:rStyle w:val="FootnoteReference"/>
          <w:rFonts w:ascii="Times New Roman" w:hAnsi="Times New Roman" w:cs="Times New Roman"/>
          <w:color w:val="0D0D14"/>
          <w:sz w:val="24"/>
          <w:szCs w:val="24"/>
          <w:lang w:bidi="he-IL"/>
        </w:rPr>
        <w:footnoteReference w:id="142"/>
      </w:r>
    </w:p>
    <w:p w14:paraId="48967D94" w14:textId="5EBC3FE5" w:rsidR="00CE42D7" w:rsidRPr="00F340A6"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In the third phrase, the dative singular noun σχήματι (“outward appearance”) denotes an observable characteristic, including social behavior. This phrase expands on the previous one, showing that He lived and appeared in the lowliness of any other ordinary man. Albert Barnes and Robert Frew comment, “He assumed all the innocent infirmities of our nature, and He appeared as other men do.”</w:t>
      </w:r>
      <w:r w:rsidR="00D47593">
        <w:rPr>
          <w:rStyle w:val="FootnoteReference"/>
          <w:rFonts w:ascii="Times New Roman" w:hAnsi="Times New Roman" w:cs="Times New Roman"/>
          <w:color w:val="0D0D14"/>
          <w:sz w:val="24"/>
          <w:szCs w:val="24"/>
          <w:lang w:bidi="he-IL"/>
        </w:rPr>
        <w:footnoteReference w:id="143"/>
      </w:r>
    </w:p>
    <w:p w14:paraId="505C856F" w14:textId="77777777" w:rsidR="00CE42D7" w:rsidRPr="00F340A6" w:rsidRDefault="00CE42D7" w:rsidP="0044269F">
      <w:pPr>
        <w:autoSpaceDE w:val="0"/>
        <w:autoSpaceDN w:val="0"/>
        <w:adjustRightInd w:val="0"/>
        <w:spacing w:after="0" w:line="480" w:lineRule="auto"/>
        <w:rPr>
          <w:rFonts w:ascii="Times New Roman" w:hAnsi="Times New Roman" w:cs="Times New Roman"/>
          <w:color w:val="0D0D14"/>
          <w:sz w:val="24"/>
          <w:szCs w:val="24"/>
          <w:lang w:bidi="he-IL"/>
        </w:rPr>
      </w:pPr>
    </w:p>
    <w:p w14:paraId="0877D808"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lastRenderedPageBreak/>
        <w:t>This threefold description prepares the Philippians for the next clause in verse 8: “He humbled Himself.” Such humility was contrary to the Roman ideal of honor, yet it was lived out perfectly in the glorious human life of the Son of God.</w:t>
      </w:r>
    </w:p>
    <w:p w14:paraId="78A7632D"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48949EFF"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Christ's honor and status as pre-existent divinity and his following refusal to exploit that status reveal the radically counter-cultural model of Gospel humility Paul wanted the Philippians to imitate. Unlike the rulers of the Roman world, Christ relinquished His rights for the salvation of others, ensuring that all those who share in that salvation are in debt to Christ's eternal character, and not merely taking on an ethical duty. Thus, Philippians 2:6–7 lays the doctrinal foundation for imitating Christ's humility, rather than grasping at accolades that could be said about oneself. In this way, Paul roots the Philippians' Gospel transformation in the very nature of the Son of God, showing humility, for the Christian, is not a temporary device used at convenient times, but a revelation of who God is. Christ's self-emptying is the defining pattern for Christian day-to-day behavior, anticipating the climactic exaltation of vv. 9-11 from servanthood to glory.</w:t>
      </w:r>
    </w:p>
    <w:p w14:paraId="2823F1A0"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67397D">
        <w:rPr>
          <w:rFonts w:ascii="Times New Roman" w:hAnsi="Times New Roman" w:cs="Times New Roman"/>
          <w:color w:val="0D0D14"/>
          <w:sz w:val="24"/>
          <w:szCs w:val="24"/>
          <w:lang w:bidi="he-IL"/>
        </w:rPr>
        <w:t>2:8 Exegetical Summary</w:t>
      </w:r>
    </w:p>
    <w:p w14:paraId="05F945FE"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continues the descent of Christ's humiliation by emphasizing the depths of His obedience, all the way to the cross. Verse 8 focuses on the syntactical function of the participle γίνομαι and how it relates to the main verb ἐταπείνωσεν. Understanding the participle's relationship will help the reader clarify how Paul articulates the connection between Christ's humility and His obedience unto death.</w:t>
      </w:r>
    </w:p>
    <w:p w14:paraId="3B7C212B"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lastRenderedPageBreak/>
        <w:t>Participle γίνομαι: Means or Explanatory?</w:t>
      </w:r>
    </w:p>
    <w:p w14:paraId="24114F6E" w14:textId="0C74F9C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aorist middle participle γίνομαι (“to become, to take on a state, to come about”) in 2:8 modifies ἐταπείνωσεν (aorist active indicative of ταπεινόω, “he humbled [himself]”) and precedes the adjective ὑπήκοος (“obedient”) and the infinitive phrase μέχρι θανάτου (“unto death”). Greenlee highlights three possible relationships for the participle: means, epexegetical, or extent.</w:t>
      </w:r>
      <w:r w:rsidR="00D47593">
        <w:rPr>
          <w:rStyle w:val="FootnoteReference"/>
          <w:rFonts w:ascii="Times New Roman" w:hAnsi="Times New Roman" w:cs="Times New Roman"/>
          <w:color w:val="0D0D14"/>
          <w:sz w:val="24"/>
          <w:szCs w:val="24"/>
          <w:lang w:bidi="he-IL"/>
        </w:rPr>
        <w:footnoteReference w:id="144"/>
      </w:r>
      <w:r w:rsidRPr="00F340A6">
        <w:rPr>
          <w:rFonts w:ascii="Times New Roman" w:hAnsi="Times New Roman" w:cs="Times New Roman"/>
          <w:color w:val="0D0D14"/>
          <w:sz w:val="24"/>
          <w:szCs w:val="24"/>
          <w:lang w:bidi="he-IL"/>
        </w:rPr>
        <w:t xml:space="preserve"> This paper will only consider the first two due to the minimal support for the extent participle.</w:t>
      </w:r>
    </w:p>
    <w:p w14:paraId="5784075A" w14:textId="2103001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This analysis prefers translating γίνομαι as a participle of means, shown by placing the word “by” to indicate how Christ humbled Himself.</w:t>
      </w:r>
      <w:r w:rsidR="00D47593">
        <w:rPr>
          <w:rStyle w:val="FootnoteReference"/>
          <w:rFonts w:ascii="Times New Roman" w:hAnsi="Times New Roman" w:cs="Times New Roman"/>
          <w:color w:val="0D0D14"/>
          <w:sz w:val="24"/>
          <w:szCs w:val="24"/>
          <w:lang w:bidi="he-IL"/>
        </w:rPr>
        <w:footnoteReference w:id="145"/>
      </w:r>
      <w:r w:rsidRPr="00F340A6">
        <w:rPr>
          <w:rFonts w:ascii="Times New Roman" w:hAnsi="Times New Roman" w:cs="Times New Roman"/>
          <w:color w:val="0D0D14"/>
          <w:sz w:val="24"/>
          <w:szCs w:val="24"/>
          <w:lang w:bidi="he-IL"/>
        </w:rPr>
        <w:t xml:space="preserve"> Hellerman notes that this is his preferred position, along with NASB, ESV, HCSB, Fee, and others.</w:t>
      </w:r>
      <w:r w:rsidR="00B37EDA">
        <w:rPr>
          <w:rStyle w:val="FootnoteReference"/>
          <w:rFonts w:ascii="Times New Roman" w:hAnsi="Times New Roman" w:cs="Times New Roman"/>
          <w:color w:val="0D0D14"/>
          <w:sz w:val="24"/>
          <w:szCs w:val="24"/>
          <w:lang w:bidi="he-IL"/>
        </w:rPr>
        <w:footnoteReference w:id="146"/>
      </w:r>
      <w:r w:rsidRPr="00F340A6">
        <w:rPr>
          <w:rFonts w:ascii="Times New Roman" w:hAnsi="Times New Roman" w:cs="Times New Roman"/>
          <w:color w:val="0D0D14"/>
          <w:sz w:val="24"/>
          <w:szCs w:val="24"/>
          <w:lang w:bidi="he-IL"/>
        </w:rPr>
        <w:t xml:space="preserve"> Greenlee indicates there is minor support for an epexegetical position,</w:t>
      </w:r>
      <w:r w:rsidR="00B37EDA">
        <w:rPr>
          <w:rStyle w:val="FootnoteReference"/>
          <w:rFonts w:ascii="Times New Roman" w:hAnsi="Times New Roman" w:cs="Times New Roman"/>
          <w:color w:val="0D0D14"/>
          <w:sz w:val="24"/>
          <w:szCs w:val="24"/>
          <w:lang w:bidi="he-IL"/>
        </w:rPr>
        <w:footnoteReference w:id="147"/>
      </w:r>
      <w:r w:rsidRPr="00F340A6">
        <w:rPr>
          <w:rFonts w:ascii="Times New Roman" w:hAnsi="Times New Roman" w:cs="Times New Roman"/>
          <w:color w:val="0D0D14"/>
          <w:sz w:val="24"/>
          <w:szCs w:val="24"/>
          <w:lang w:bidi="he-IL"/>
        </w:rPr>
        <w:t xml:space="preserve"> which could also be translated by placing the word “by” before the participle, though more precisely rendered as, “He humbled Himself, that is, by becoming obedient unto death.”</w:t>
      </w:r>
    </w:p>
    <w:p w14:paraId="48C62E5A"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Either way, the participle links humility and obedience together. Christ’s obedience is the fundamental expression of His humility, even obedience unto death. Using “by” before the participle allows the reader to make the interpretive choice.</w:t>
      </w:r>
    </w:p>
    <w:p w14:paraId="75ED008B"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Interpretive / Theological Significance</w:t>
      </w:r>
    </w:p>
    <w:p w14:paraId="203ACA23"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Paul shows that Christ's humility was more than just a character quality of Christ, but how His humility was visibly demonstrated through obedience to the cross. Christ's </w:t>
      </w:r>
      <w:r w:rsidRPr="00F340A6">
        <w:rPr>
          <w:rFonts w:ascii="Times New Roman" w:hAnsi="Times New Roman" w:cs="Times New Roman"/>
          <w:color w:val="0D0D14"/>
          <w:sz w:val="24"/>
          <w:szCs w:val="24"/>
          <w:lang w:bidi="he-IL"/>
        </w:rPr>
        <w:lastRenderedPageBreak/>
        <w:t>submission was costly, and the cost goes a long way toward proving how far Christ would go to "consider the things" of others. Christ expressed divine humility through sacrificial and costly obedience.</w:t>
      </w:r>
    </w:p>
    <w:p w14:paraId="78F467F2"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67397D">
        <w:rPr>
          <w:rFonts w:ascii="Times New Roman" w:hAnsi="Times New Roman" w:cs="Times New Roman"/>
          <w:color w:val="0D0D14"/>
          <w:sz w:val="24"/>
          <w:szCs w:val="24"/>
          <w:lang w:bidi="he-IL"/>
        </w:rPr>
        <w:t>2:9–11 Exegetical Summary</w:t>
      </w:r>
    </w:p>
    <w:p w14:paraId="41ABBCB0" w14:textId="77777777" w:rsidR="00E00B0C" w:rsidRPr="00E00B0C" w:rsidRDefault="00CE42D7" w:rsidP="00E00B0C">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now moves from Christ's humiliation to His inevitable exaltation, describing the Father's response to Christ's obedience. The passage highlights how God "highly exalted" Christ with honor and a name above every name. Understanding the flow of thought from vv. 6–8 into vv. 9–11 is essential for grasping Paul's Christology, humiliation, and subsequent exaltation.</w:t>
      </w:r>
    </w:p>
    <w:p w14:paraId="1E06B8EB" w14:textId="24D605DD" w:rsidR="00CE42D7" w:rsidRPr="00E00B0C" w:rsidRDefault="00CE42D7" w:rsidP="00E00B0C">
      <w:pPr>
        <w:autoSpaceDE w:val="0"/>
        <w:autoSpaceDN w:val="0"/>
        <w:adjustRightInd w:val="0"/>
        <w:spacing w:before="360" w:after="0" w:line="480" w:lineRule="auto"/>
        <w:ind w:firstLine="720"/>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How Was Christ Highly Exalted?</w:t>
      </w:r>
    </w:p>
    <w:p w14:paraId="02F0D549" w14:textId="14E82B0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word ὑπερύψωσεν (“highly exalted”) in 2:9 is a simple, straightforward aorist active indicative verb. Theologically, however, the question remains: How did God “highly exalt” Christ? The concept is best understood comparatively, setting the high exaltation against Christ’s self-emptying as a servant and His descent to the lowest degree of humility on the cross.</w:t>
      </w:r>
      <w:r w:rsidR="00B37EDA">
        <w:rPr>
          <w:rStyle w:val="FootnoteReference"/>
          <w:rFonts w:ascii="Times New Roman" w:hAnsi="Times New Roman" w:cs="Times New Roman"/>
          <w:color w:val="0D0D14"/>
          <w:sz w:val="24"/>
          <w:szCs w:val="24"/>
          <w:lang w:bidi="he-IL"/>
        </w:rPr>
        <w:footnoteReference w:id="148"/>
      </w:r>
      <w:r w:rsidRPr="00F340A6">
        <w:rPr>
          <w:rFonts w:ascii="Times New Roman" w:hAnsi="Times New Roman" w:cs="Times New Roman"/>
          <w:color w:val="0D0D14"/>
          <w:sz w:val="24"/>
          <w:szCs w:val="24"/>
          <w:lang w:bidi="he-IL"/>
        </w:rPr>
        <w:t xml:space="preserve"> These extreme opposites show that Christ was highly exalted, as Fee says, “to the highest possible degree,”</w:t>
      </w:r>
      <w:r w:rsidR="00B37EDA">
        <w:rPr>
          <w:rStyle w:val="FootnoteReference"/>
          <w:rFonts w:ascii="Times New Roman" w:hAnsi="Times New Roman" w:cs="Times New Roman"/>
          <w:color w:val="0D0D14"/>
          <w:sz w:val="24"/>
          <w:szCs w:val="24"/>
          <w:lang w:bidi="he-IL"/>
        </w:rPr>
        <w:footnoteReference w:id="149"/>
      </w:r>
      <w:r w:rsidRPr="00F340A6">
        <w:rPr>
          <w:rFonts w:ascii="Times New Roman" w:hAnsi="Times New Roman" w:cs="Times New Roman"/>
          <w:color w:val="0D0D14"/>
          <w:sz w:val="24"/>
          <w:szCs w:val="24"/>
          <w:lang w:bidi="he-IL"/>
        </w:rPr>
        <w:t xml:space="preserve"> and as Melick notes, “with the exaltation of restored glory” in contrast to the humiliation of the cross.</w:t>
      </w:r>
      <w:r w:rsidR="00B37EDA">
        <w:rPr>
          <w:rStyle w:val="FootnoteReference"/>
          <w:rFonts w:ascii="Times New Roman" w:hAnsi="Times New Roman" w:cs="Times New Roman"/>
          <w:color w:val="0D0D14"/>
          <w:sz w:val="24"/>
          <w:szCs w:val="24"/>
          <w:lang w:bidi="he-IL"/>
        </w:rPr>
        <w:footnoteReference w:id="150"/>
      </w:r>
    </w:p>
    <w:p w14:paraId="79487F5B" w14:textId="1F608A8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 xml:space="preserve">Furthermore, God bestows the “name above every name,” which, as Kent explains, should be understood as part of the exaltation, “in the sense of position, dignity, </w:t>
      </w:r>
      <w:r w:rsidRPr="00F340A6">
        <w:rPr>
          <w:rFonts w:ascii="Times New Roman" w:hAnsi="Times New Roman" w:cs="Times New Roman"/>
          <w:color w:val="0D0D14"/>
          <w:sz w:val="24"/>
          <w:szCs w:val="24"/>
          <w:lang w:bidi="he-IL"/>
        </w:rPr>
        <w:lastRenderedPageBreak/>
        <w:t>or office.”</w:t>
      </w:r>
      <w:r w:rsidR="00B37EDA">
        <w:rPr>
          <w:rStyle w:val="FootnoteReference"/>
          <w:rFonts w:ascii="Times New Roman" w:hAnsi="Times New Roman" w:cs="Times New Roman"/>
          <w:color w:val="0D0D14"/>
          <w:sz w:val="24"/>
          <w:szCs w:val="24"/>
          <w:lang w:bidi="he-IL"/>
        </w:rPr>
        <w:footnoteReference w:id="151"/>
      </w:r>
      <w:r w:rsidRPr="00F340A6">
        <w:rPr>
          <w:rFonts w:ascii="Times New Roman" w:hAnsi="Times New Roman" w:cs="Times New Roman"/>
          <w:color w:val="0D0D14"/>
          <w:sz w:val="24"/>
          <w:szCs w:val="24"/>
          <w:lang w:bidi="he-IL"/>
        </w:rPr>
        <w:t xml:space="preserve"> Melick observes that the Lord’s exalted name functions as the “object of adoration in the Godhead,”</w:t>
      </w:r>
      <w:r w:rsidR="00B37EDA">
        <w:rPr>
          <w:rStyle w:val="FootnoteReference"/>
          <w:rFonts w:ascii="Times New Roman" w:hAnsi="Times New Roman" w:cs="Times New Roman"/>
          <w:color w:val="0D0D14"/>
          <w:sz w:val="24"/>
          <w:szCs w:val="24"/>
          <w:lang w:bidi="he-IL"/>
        </w:rPr>
        <w:footnoteReference w:id="152"/>
      </w:r>
      <w:r w:rsidRPr="00F340A6">
        <w:rPr>
          <w:rFonts w:ascii="Times New Roman" w:hAnsi="Times New Roman" w:cs="Times New Roman"/>
          <w:color w:val="0D0D14"/>
          <w:sz w:val="24"/>
          <w:szCs w:val="24"/>
          <w:lang w:bidi="he-IL"/>
        </w:rPr>
        <w:t xml:space="preserve"> and that worship is offered to God in Jesus’ name (Acts 2:10–11).</w:t>
      </w:r>
    </w:p>
    <w:p w14:paraId="6D4ABAB8"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ἵνα + κάμψῃ (2:10)</w:t>
      </w:r>
    </w:p>
    <w:p w14:paraId="66EA1E00" w14:textId="2D10AC0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At this point in the passage, Paul uses an ἵνα + subjunctive (ἵνα… κάμψῃ) construction to show a purpose–result relationship between verse 10 and God’s exalting Jesus and giving Him the name above every name. The effect reveals Paul’s theology and Christology in this one phrase: what God intends (purpose) is what happens (result).</w:t>
      </w:r>
      <w:r w:rsidR="00B37EDA">
        <w:rPr>
          <w:rStyle w:val="FootnoteReference"/>
          <w:rFonts w:ascii="Times New Roman" w:hAnsi="Times New Roman" w:cs="Times New Roman"/>
          <w:color w:val="0D0D14"/>
          <w:sz w:val="24"/>
          <w:szCs w:val="24"/>
          <w:lang w:bidi="he-IL"/>
        </w:rPr>
        <w:footnoteReference w:id="153"/>
      </w:r>
      <w:r w:rsidRPr="00F340A6">
        <w:rPr>
          <w:rFonts w:ascii="Times New Roman" w:hAnsi="Times New Roman" w:cs="Times New Roman"/>
          <w:color w:val="0D0D14"/>
          <w:sz w:val="24"/>
          <w:szCs w:val="24"/>
          <w:lang w:bidi="he-IL"/>
        </w:rPr>
        <w:t xml:space="preserve"> Hence, the translation in this analysis renders the phrase “so that,” but “in order that” would also be acceptable.</w:t>
      </w:r>
    </w:p>
    <w:p w14:paraId="63217D71" w14:textId="3B07077A"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Paul’s Christology is further clarified when one realizes how he alludes to Isaiah 45:18–23. In the Isaiah passage, Jehovah states His intention, to which Isaiah prophesies, “I have sworn by myself… that unto me every knee shall bow, every tongue shall swear.” Silva observes, “The Hebrew verb behind ‘swear’ here is translated by the LXX with the same verb used by Paul, exomologeō (‘confess’).”</w:t>
      </w:r>
      <w:r w:rsidR="004D4BEF">
        <w:rPr>
          <w:rStyle w:val="FootnoteReference"/>
          <w:rFonts w:ascii="Times New Roman" w:hAnsi="Times New Roman" w:cs="Times New Roman"/>
          <w:color w:val="0D0D14"/>
          <w:sz w:val="24"/>
          <w:szCs w:val="24"/>
          <w:lang w:bidi="he-IL"/>
        </w:rPr>
        <w:footnoteReference w:id="154"/>
      </w:r>
      <w:r w:rsidRPr="00F340A6">
        <w:rPr>
          <w:rFonts w:ascii="Times New Roman" w:hAnsi="Times New Roman" w:cs="Times New Roman"/>
          <w:color w:val="0D0D14"/>
          <w:sz w:val="24"/>
          <w:szCs w:val="24"/>
          <w:lang w:bidi="he-IL"/>
        </w:rPr>
        <w:t xml:space="preserve"> Thus, as Wallace states, “[Paul is] using the Isaiah passage to declare that Jesus Christ is the one who will fulfill the prophecy made about Yahweh.”</w:t>
      </w:r>
      <w:r w:rsidR="004D4BEF">
        <w:rPr>
          <w:rStyle w:val="FootnoteReference"/>
          <w:rFonts w:ascii="Times New Roman" w:hAnsi="Times New Roman" w:cs="Times New Roman"/>
          <w:color w:val="0D0D14"/>
          <w:sz w:val="24"/>
          <w:szCs w:val="24"/>
          <w:lang w:bidi="he-IL"/>
        </w:rPr>
        <w:footnoteReference w:id="155"/>
      </w:r>
      <w:r w:rsidRPr="00F340A6">
        <w:rPr>
          <w:rFonts w:ascii="Times New Roman" w:hAnsi="Times New Roman" w:cs="Times New Roman"/>
          <w:color w:val="0D0D14"/>
          <w:sz w:val="24"/>
          <w:szCs w:val="24"/>
          <w:lang w:bidi="he-IL"/>
        </w:rPr>
        <w:t xml:space="preserve"> Silva further clarifies that worship of Jesus does not </w:t>
      </w:r>
      <w:r w:rsidRPr="00F340A6">
        <w:rPr>
          <w:rFonts w:ascii="Times New Roman" w:hAnsi="Times New Roman" w:cs="Times New Roman"/>
          <w:color w:val="0D0D14"/>
          <w:sz w:val="24"/>
          <w:szCs w:val="24"/>
          <w:lang w:bidi="he-IL"/>
        </w:rPr>
        <w:lastRenderedPageBreak/>
        <w:t>compromise the Old Testament’s monotheism, but that “Jesus Christ the righteous Savior bears the name of the one Lord, Yahweh, ‘to the glory of God the Father.’”</w:t>
      </w:r>
      <w:r w:rsidR="004D4BEF">
        <w:rPr>
          <w:rStyle w:val="FootnoteReference"/>
          <w:rFonts w:ascii="Times New Roman" w:hAnsi="Times New Roman" w:cs="Times New Roman"/>
          <w:color w:val="0D0D14"/>
          <w:sz w:val="24"/>
          <w:szCs w:val="24"/>
          <w:lang w:bidi="he-IL"/>
        </w:rPr>
        <w:footnoteReference w:id="156"/>
      </w:r>
    </w:p>
    <w:p w14:paraId="36219D03" w14:textId="437B6FB2"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As a minor point, the preposition ἐν (“at the name of Jesus”) is best understood as expressing the basis or grounds for worship.</w:t>
      </w:r>
      <w:r w:rsidR="004D4BEF">
        <w:rPr>
          <w:rStyle w:val="FootnoteReference"/>
          <w:rFonts w:ascii="Times New Roman" w:hAnsi="Times New Roman" w:cs="Times New Roman"/>
          <w:color w:val="0D0D14"/>
          <w:sz w:val="24"/>
          <w:szCs w:val="24"/>
          <w:lang w:bidi="he-IL"/>
        </w:rPr>
        <w:footnoteReference w:id="157"/>
      </w:r>
      <w:r w:rsidRPr="00F340A6">
        <w:rPr>
          <w:rFonts w:ascii="Times New Roman" w:hAnsi="Times New Roman" w:cs="Times New Roman"/>
          <w:color w:val="0D0D14"/>
          <w:sz w:val="24"/>
          <w:szCs w:val="24"/>
          <w:lang w:bidi="he-IL"/>
        </w:rPr>
        <w:t xml:space="preserve"> Grammatically, one could interpret ἐν temporally, pointing to a future time, but given the context of Christ’s exalted authority, the bowing is not merely because His name is uttered. Rather, the exalted name itself is grounds enough to warrant universal homage.</w:t>
      </w:r>
    </w:p>
    <w:p w14:paraId="42915747" w14:textId="77777777" w:rsidR="00CE42D7" w:rsidRPr="00E00B0C" w:rsidRDefault="00CE42D7" w:rsidP="00E00B0C">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E00B0C">
        <w:rPr>
          <w:rFonts w:ascii="Times New Roman" w:hAnsi="Times New Roman" w:cs="Times New Roman"/>
          <w:color w:val="0D0D14"/>
          <w:sz w:val="24"/>
          <w:szCs w:val="24"/>
          <w:lang w:bidi="he-IL"/>
        </w:rPr>
        <w:t>καί… ἐξομολογήσηται (2:11)</w:t>
      </w:r>
    </w:p>
    <w:p w14:paraId="5CCE1ACE" w14:textId="3158208E"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conjunction καί in verse 11 simply coordinates the two actions within the purpose clause introduced by the preceding ἵνα (“so that”), indicating that both the bowing of every knee and the confession of every tongue form a unified act of homage, echoing the universal worship foretold in Isaiah’s prophecy. The καί is followed by the aorist middle subjunctive ἐξομολογήσηται (“should confess”), functioning here within the purpose construction but pointing toward a future fulfillment. Robert Utley observes that this confession “acknowledges the fact that public, verbal acknowledgment of the lordship of Christ will be an end-time reality.”</w:t>
      </w:r>
      <w:r w:rsidR="004D4BEF">
        <w:rPr>
          <w:rStyle w:val="FootnoteReference"/>
          <w:rFonts w:ascii="Times New Roman" w:hAnsi="Times New Roman" w:cs="Times New Roman"/>
          <w:color w:val="0D0D14"/>
          <w:sz w:val="24"/>
          <w:szCs w:val="24"/>
          <w:lang w:bidi="he-IL"/>
        </w:rPr>
        <w:footnoteReference w:id="158"/>
      </w:r>
    </w:p>
    <w:p w14:paraId="16F30712" w14:textId="77777777" w:rsidR="00931C0F" w:rsidRPr="00484709" w:rsidRDefault="00931C0F" w:rsidP="00931C0F">
      <w:pPr>
        <w:autoSpaceDE w:val="0"/>
        <w:autoSpaceDN w:val="0"/>
        <w:adjustRightInd w:val="0"/>
        <w:spacing w:before="360" w:after="0" w:line="480" w:lineRule="auto"/>
        <w:jc w:val="center"/>
        <w:rPr>
          <w:rFonts w:ascii="Times New Roman" w:hAnsi="Times New Roman" w:cs="Times New Roman"/>
          <w:color w:val="0D0D14"/>
          <w:sz w:val="24"/>
          <w:szCs w:val="24"/>
          <w:lang w:bidi="he-IL"/>
        </w:rPr>
      </w:pPr>
    </w:p>
    <w:p w14:paraId="623AFE55" w14:textId="77777777" w:rsidR="00931C0F" w:rsidRPr="00484709" w:rsidRDefault="00931C0F" w:rsidP="00931C0F">
      <w:pPr>
        <w:autoSpaceDE w:val="0"/>
        <w:autoSpaceDN w:val="0"/>
        <w:adjustRightInd w:val="0"/>
        <w:spacing w:before="360" w:after="0" w:line="480" w:lineRule="auto"/>
        <w:jc w:val="center"/>
        <w:rPr>
          <w:rFonts w:ascii="Times New Roman" w:hAnsi="Times New Roman" w:cs="Times New Roman"/>
          <w:color w:val="0D0D14"/>
          <w:sz w:val="24"/>
          <w:szCs w:val="24"/>
          <w:lang w:bidi="he-IL"/>
        </w:rPr>
      </w:pPr>
    </w:p>
    <w:p w14:paraId="69E72CC5" w14:textId="0462ED6C" w:rsidR="00CE42D7" w:rsidRPr="00931C0F" w:rsidRDefault="00CE42D7" w:rsidP="00931C0F">
      <w:pPr>
        <w:autoSpaceDE w:val="0"/>
        <w:autoSpaceDN w:val="0"/>
        <w:adjustRightInd w:val="0"/>
        <w:spacing w:before="360" w:after="0" w:line="480" w:lineRule="auto"/>
        <w:jc w:val="center"/>
        <w:rPr>
          <w:rFonts w:ascii="Times New Roman" w:hAnsi="Times New Roman" w:cs="Times New Roman"/>
          <w:color w:val="0D0D14"/>
          <w:sz w:val="24"/>
          <w:szCs w:val="24"/>
          <w:lang w:bidi="he-IL"/>
        </w:rPr>
      </w:pPr>
      <w:r w:rsidRPr="00931C0F">
        <w:rPr>
          <w:rFonts w:ascii="Times New Roman" w:hAnsi="Times New Roman" w:cs="Times New Roman"/>
          <w:color w:val="0D0D14"/>
          <w:sz w:val="24"/>
          <w:szCs w:val="24"/>
          <w:lang w:bidi="he-IL"/>
        </w:rPr>
        <w:lastRenderedPageBreak/>
        <w:t>Interpretive / Theological Significance</w:t>
      </w:r>
    </w:p>
    <w:p w14:paraId="64AD7CE5" w14:textId="1628B06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Paul presents to the Philippians that the exaltation of Christ is the divine affirmation of His perfect obedience and humility. Where the secular culture around them sought exaltation through boasts and exploitation, Christ is exalted because He surrendered Himself in obedience to God's will. The model of Christ's humility should be followed to the end of exaltation, even for believers to submit themselves in the same fashion as Christ. Homer states, "The appeal, however, was not only to a life of lowliness and hardship; it also contained the reminder that victory followed humiliation and that God’s glory will ultimately prevail."</w:t>
      </w:r>
      <w:r w:rsidR="001F7387">
        <w:rPr>
          <w:rStyle w:val="FootnoteReference"/>
          <w:rFonts w:ascii="Times New Roman" w:hAnsi="Times New Roman" w:cs="Times New Roman"/>
          <w:color w:val="0D0D14"/>
          <w:sz w:val="24"/>
          <w:szCs w:val="24"/>
          <w:lang w:bidi="he-IL"/>
        </w:rPr>
        <w:footnoteReference w:id="159"/>
      </w:r>
    </w:p>
    <w:p w14:paraId="6E9D5CA4"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D0D14"/>
          <w:sz w:val="24"/>
          <w:szCs w:val="24"/>
          <w:lang w:bidi="he-IL"/>
        </w:rPr>
      </w:pPr>
      <w:r w:rsidRPr="00F340A6">
        <w:rPr>
          <w:rFonts w:ascii="Times New Roman" w:hAnsi="Times New Roman" w:cs="Times New Roman"/>
          <w:color w:val="0D0D14"/>
          <w:sz w:val="24"/>
          <w:szCs w:val="24"/>
          <w:lang w:bidi="he-IL"/>
        </w:rPr>
        <w:t>The Isaiah allusion of vv. 10–11 reinforces that Jesus shares the identity and glory of Jehovah, receiving universal worship appropriate only for God. The purpose clause of v. 11 reveals that God's exaltation of Christ leads to universal confession of His lordship, fulfilling the prophecy, and demonstrating that Christ's humiliation and exaltation together accomplish God's redemptive will.</w:t>
      </w:r>
    </w:p>
    <w:p w14:paraId="60B94F46" w14:textId="504C9F04" w:rsidR="00CE42D7" w:rsidRPr="00F340A6" w:rsidRDefault="00CE42D7" w:rsidP="0067397D">
      <w:pPr>
        <w:autoSpaceDE w:val="0"/>
        <w:autoSpaceDN w:val="0"/>
        <w:adjustRightInd w:val="0"/>
        <w:spacing w:before="360" w:after="0" w:line="480" w:lineRule="auto"/>
        <w:jc w:val="center"/>
        <w:rPr>
          <w:rFonts w:ascii="Times New Roman" w:hAnsi="Times New Roman" w:cs="Times New Roman"/>
          <w:b/>
          <w:bCs/>
          <w:color w:val="0D0D14"/>
          <w:sz w:val="24"/>
          <w:szCs w:val="24"/>
          <w:lang w:bidi="he-IL"/>
        </w:rPr>
      </w:pPr>
      <w:r w:rsidRPr="00F340A6">
        <w:rPr>
          <w:rFonts w:ascii="Times New Roman" w:hAnsi="Times New Roman" w:cs="Times New Roman"/>
          <w:b/>
          <w:bCs/>
          <w:color w:val="0D0D14"/>
          <w:sz w:val="24"/>
          <w:szCs w:val="24"/>
          <w:lang w:bidi="he-IL"/>
        </w:rPr>
        <w:t>Theolog</w:t>
      </w:r>
      <w:r w:rsidR="0067397D">
        <w:rPr>
          <w:rFonts w:ascii="Times New Roman" w:hAnsi="Times New Roman" w:cs="Times New Roman"/>
          <w:b/>
          <w:bCs/>
          <w:color w:val="0D0D14"/>
          <w:sz w:val="24"/>
          <w:szCs w:val="24"/>
          <w:lang w:bidi="he-IL"/>
        </w:rPr>
        <w:t>ical Themes of Philippians 2:1-11</w:t>
      </w:r>
    </w:p>
    <w:p w14:paraId="40231B5A"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To avoid redundancy, the following section provides a concise summary of the major theological topics addressed in Philippians 2:1–11. While much of this theology has already been discussed throughout the verse-by-verse exegesis, it is gathered here for clarity and to demonstrate the doctrinal contributions of the passage as a whole.</w:t>
      </w:r>
    </w:p>
    <w:p w14:paraId="706406F1" w14:textId="77777777" w:rsidR="00931C0F" w:rsidRPr="00484709" w:rsidRDefault="00931C0F"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p>
    <w:p w14:paraId="3616188D" w14:textId="0C3BE244" w:rsidR="001F7387" w:rsidRPr="0067397D" w:rsidRDefault="001F738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lastRenderedPageBreak/>
        <w:t>1. Christology</w:t>
      </w:r>
    </w:p>
    <w:p w14:paraId="60714429" w14:textId="5F7F4C15" w:rsidR="00CE42D7" w:rsidRPr="0067397D" w:rsidRDefault="00CE42D7" w:rsidP="0067397D">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Philippians 2:1–11 decisively confirms Christ’s full deity, preexistence, and equality with God (2:6). Christ’s downward trajectory begins with His equality with God, followed by taking the form of a human being, then a servant (2:7), and finally embracing the humility of the cross (2:8). As Silva observes, Paul’s use of Isaiah 45:23 to depict Jesus’ exaltation and universal worship demonstrates Christ’s identity with Jehovah.</w:t>
      </w:r>
      <w:r w:rsidR="001F7387">
        <w:rPr>
          <w:rStyle w:val="FootnoteReference"/>
          <w:rFonts w:ascii="Times New Roman" w:hAnsi="Times New Roman" w:cs="Times New Roman"/>
          <w:color w:val="000000"/>
          <w:sz w:val="24"/>
          <w:szCs w:val="24"/>
          <w:lang w:bidi="he-IL"/>
        </w:rPr>
        <w:footnoteReference w:id="160"/>
      </w:r>
      <w:r w:rsidRPr="00F340A6">
        <w:rPr>
          <w:rFonts w:ascii="Times New Roman" w:hAnsi="Times New Roman" w:cs="Times New Roman"/>
          <w:color w:val="000000"/>
          <w:sz w:val="24"/>
          <w:szCs w:val="24"/>
          <w:lang w:bidi="he-IL"/>
        </w:rPr>
        <w:t xml:space="preserve"> Paul’s Christology preserves monotheism while affirming Christ’s full participation in the divine identity. Together, these elements offer one of the New Testament’s clearest and most concise portraits of the person of Christ in both His humiliation and exaltation.</w:t>
      </w:r>
    </w:p>
    <w:p w14:paraId="7450B98D" w14:textId="77777777" w:rsidR="00CE42D7" w:rsidRPr="0067397D" w:rsidRDefault="00CE42D7" w:rsidP="0067397D">
      <w:pPr>
        <w:autoSpaceDE w:val="0"/>
        <w:autoSpaceDN w:val="0"/>
        <w:adjustRightInd w:val="0"/>
        <w:spacing w:before="48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2. Theology Proper</w:t>
      </w:r>
    </w:p>
    <w:p w14:paraId="57EB3C33"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The passage distinguishes the work of the Father as the One who vindicates and “highly exalts” Christ (2:9). Thus the Father’s sovereign role in publicly affirming Christ’s humility and obedience reflects the divine pattern of raising up the lowly, consistent with Scripture (cf. 1 Sam. 2:7–8; Luke 14:11). The purpose clause in 2:10–11 reveals that the Father’s exaltation of Christ aims at the universal acknowledgment of Christ’s lordship, ultimately “to the glory of God the Father” (2:11).</w:t>
      </w:r>
    </w:p>
    <w:p w14:paraId="7671529B"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3. Pneumatology</w:t>
      </w:r>
    </w:p>
    <w:p w14:paraId="747AFB97" w14:textId="7DB8710F"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 xml:space="preserve">Paul’s appeal to unity in 2:1–2 includes the phrase “fellowship of the Spirit,” indicating that the Holy Spirit is the active agent producing unity within the local congregation. As Kent observes, “They have been made one by the Spirit and thus are </w:t>
      </w:r>
      <w:r w:rsidRPr="00F340A6">
        <w:rPr>
          <w:rFonts w:ascii="Times New Roman" w:hAnsi="Times New Roman" w:cs="Times New Roman"/>
          <w:color w:val="000000"/>
          <w:sz w:val="24"/>
          <w:szCs w:val="24"/>
          <w:lang w:bidi="he-IL"/>
        </w:rPr>
        <w:lastRenderedPageBreak/>
        <w:t>partners with him and with each other.”</w:t>
      </w:r>
      <w:r w:rsidR="001F7387">
        <w:rPr>
          <w:rStyle w:val="FootnoteReference"/>
          <w:rFonts w:ascii="Times New Roman" w:hAnsi="Times New Roman" w:cs="Times New Roman"/>
          <w:color w:val="000000"/>
          <w:sz w:val="24"/>
          <w:szCs w:val="24"/>
          <w:lang w:bidi="he-IL"/>
        </w:rPr>
        <w:footnoteReference w:id="161"/>
      </w:r>
      <w:r w:rsidRPr="00F340A6">
        <w:rPr>
          <w:rFonts w:ascii="Times New Roman" w:hAnsi="Times New Roman" w:cs="Times New Roman"/>
          <w:color w:val="000000"/>
          <w:sz w:val="24"/>
          <w:szCs w:val="24"/>
          <w:lang w:bidi="he-IL"/>
        </w:rPr>
        <w:t xml:space="preserve"> This unity is the same Paul describes in 1 Corinthians 12:13: “For by one Spirit are we all baptized into one body.” Thus the Holy Spirit applies the mind of Christ to the community, enabling believers to embody humility, mutual concern, and obedience.</w:t>
      </w:r>
    </w:p>
    <w:p w14:paraId="2D12D6A7"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4. Anthropology</w:t>
      </w:r>
    </w:p>
    <w:p w14:paraId="0B9D41E7" w14:textId="27D63B0C" w:rsidR="00CE42D7" w:rsidRPr="001F7387"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Paul’s anthropology contrasts sharply with ancient, modern, Western, and Eastern cultural assumptions. By redefining humility as a divine, Christlike virtue, Paul teaches that humanity flourishes under obedience to God. Where humility is despised and self-exaltation is celebrated, Paul affirms that humanity is dignified not by asserting oneself but by self-emptying and servanthood, reflecting the mind of Christ.</w:t>
      </w:r>
    </w:p>
    <w:p w14:paraId="2AF5FFA1"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5. Ecclesiology</w:t>
      </w:r>
    </w:p>
    <w:p w14:paraId="3A5C8C9E" w14:textId="77777777"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The ethics of the church (2:1–4) are grounded in Christ (2:5–11). The church, as Christ’s body, is commanded to take on the mind of Christ in its conduct and in its evaluation of the world. Though the local congregation may exist in distinct cultures throughout history, it is not shaped by cultural expectations but by Christ’s pattern of self-emptying. As believers embrace His mind, the church becomes a visible expression of the Gospel in both hostile and indifferent societies.</w:t>
      </w:r>
    </w:p>
    <w:p w14:paraId="0B8B6E08"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6. Soteriology</w:t>
      </w:r>
    </w:p>
    <w:p w14:paraId="7F08DA35" w14:textId="1FCAEE08"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 xml:space="preserve">Although Paul’s primary intention is ethical imitation, the passage still highlights how Christ’s obedience “unto death, even the death of the cross” accomplishes salvation. </w:t>
      </w:r>
      <w:r w:rsidRPr="00F340A6">
        <w:rPr>
          <w:rFonts w:ascii="Times New Roman" w:hAnsi="Times New Roman" w:cs="Times New Roman"/>
          <w:color w:val="000000"/>
          <w:sz w:val="24"/>
          <w:szCs w:val="24"/>
          <w:lang w:bidi="he-IL"/>
        </w:rPr>
        <w:lastRenderedPageBreak/>
        <w:t>Paul aligns Christ’s self-giving with the substitutionary atonement of Isaiah’s Suffering Servant, “who poured out his soul unto death” (Isa. 53:12). Silva notes that Paul’s Isaianic language is not merely exemplary but redemptive in nature.</w:t>
      </w:r>
      <w:r w:rsidR="001F7387">
        <w:rPr>
          <w:rStyle w:val="FootnoteReference"/>
          <w:rFonts w:ascii="Times New Roman" w:hAnsi="Times New Roman" w:cs="Times New Roman"/>
          <w:color w:val="000000"/>
          <w:sz w:val="24"/>
          <w:szCs w:val="24"/>
          <w:lang w:bidi="he-IL"/>
        </w:rPr>
        <w:footnoteReference w:id="162"/>
      </w:r>
      <w:r w:rsidRPr="00F340A6">
        <w:rPr>
          <w:rFonts w:ascii="Times New Roman" w:hAnsi="Times New Roman" w:cs="Times New Roman"/>
          <w:color w:val="000000"/>
          <w:sz w:val="24"/>
          <w:szCs w:val="24"/>
          <w:lang w:bidi="he-IL"/>
        </w:rPr>
        <w:t xml:space="preserve"> Thus salvation is grounded in Christ’s obedience to the Father and vindicated in His exaltation.</w:t>
      </w:r>
    </w:p>
    <w:p w14:paraId="11A81107" w14:textId="77777777" w:rsidR="00CE42D7" w:rsidRPr="0067397D" w:rsidRDefault="00CE42D7" w:rsidP="0067397D">
      <w:pPr>
        <w:autoSpaceDE w:val="0"/>
        <w:autoSpaceDN w:val="0"/>
        <w:adjustRightInd w:val="0"/>
        <w:spacing w:before="360" w:after="0" w:line="480" w:lineRule="auto"/>
        <w:jc w:val="center"/>
        <w:rPr>
          <w:rFonts w:ascii="Times New Roman" w:hAnsi="Times New Roman" w:cs="Times New Roman"/>
          <w:color w:val="000000"/>
          <w:sz w:val="24"/>
          <w:szCs w:val="24"/>
          <w:lang w:bidi="he-IL"/>
        </w:rPr>
      </w:pPr>
      <w:r w:rsidRPr="0067397D">
        <w:rPr>
          <w:rFonts w:ascii="Times New Roman" w:hAnsi="Times New Roman" w:cs="Times New Roman"/>
          <w:color w:val="000000"/>
          <w:sz w:val="24"/>
          <w:szCs w:val="24"/>
          <w:lang w:bidi="he-IL"/>
        </w:rPr>
        <w:t>7. Eschatology</w:t>
      </w:r>
    </w:p>
    <w:p w14:paraId="77A1F110" w14:textId="7AA32234"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Philippians 2:10–11 presents a powerful eschatological vision in which every knee bows and every tongue confesses the lordship of Jesus Christ. This recognition is universal, as Isaiah predicted, and encompasses heavenly, earthly, and underworld beings. For believers, this future assures that present humiliation for Christ’s sake will give way to vindication. As Melick notes, Christ receives “the restored glory” appropriate to His nature,</w:t>
      </w:r>
      <w:r w:rsidR="00AF414D">
        <w:rPr>
          <w:rStyle w:val="FootnoteReference"/>
          <w:rFonts w:ascii="Times New Roman" w:hAnsi="Times New Roman" w:cs="Times New Roman"/>
          <w:color w:val="000000"/>
          <w:sz w:val="24"/>
          <w:szCs w:val="24"/>
          <w:lang w:bidi="he-IL"/>
        </w:rPr>
        <w:footnoteReference w:id="163"/>
      </w:r>
      <w:r w:rsidRPr="00F340A6">
        <w:rPr>
          <w:rFonts w:ascii="Times New Roman" w:hAnsi="Times New Roman" w:cs="Times New Roman"/>
          <w:color w:val="000000"/>
          <w:sz w:val="24"/>
          <w:szCs w:val="24"/>
          <w:lang w:bidi="he-IL"/>
        </w:rPr>
        <w:t xml:space="preserve"> and those who share His mind will also share His exaltation.</w:t>
      </w:r>
    </w:p>
    <w:p w14:paraId="76BAAFA5" w14:textId="77777777" w:rsidR="00CE42D7" w:rsidRDefault="00CE42D7" w:rsidP="0067397D">
      <w:pPr>
        <w:autoSpaceDE w:val="0"/>
        <w:autoSpaceDN w:val="0"/>
        <w:adjustRightInd w:val="0"/>
        <w:spacing w:before="360" w:after="0" w:line="240" w:lineRule="auto"/>
        <w:jc w:val="center"/>
        <w:rPr>
          <w:rFonts w:ascii="Times New Roman" w:hAnsi="Times New Roman" w:cs="Times New Roman"/>
          <w:b/>
          <w:bCs/>
          <w:color w:val="000000"/>
          <w:sz w:val="24"/>
          <w:szCs w:val="24"/>
          <w:lang w:bidi="he-IL"/>
        </w:rPr>
      </w:pPr>
      <w:r w:rsidRPr="00F340A6">
        <w:rPr>
          <w:rFonts w:ascii="Times New Roman" w:hAnsi="Times New Roman" w:cs="Times New Roman"/>
          <w:b/>
          <w:bCs/>
          <w:color w:val="000000"/>
          <w:sz w:val="24"/>
          <w:szCs w:val="24"/>
          <w:lang w:bidi="he-IL"/>
        </w:rPr>
        <w:t>Application</w:t>
      </w:r>
    </w:p>
    <w:p w14:paraId="3D16905D" w14:textId="77777777" w:rsidR="0044269F" w:rsidRPr="00F340A6" w:rsidRDefault="0044269F" w:rsidP="0044269F">
      <w:pPr>
        <w:autoSpaceDE w:val="0"/>
        <w:autoSpaceDN w:val="0"/>
        <w:adjustRightInd w:val="0"/>
        <w:spacing w:after="0" w:line="240" w:lineRule="auto"/>
        <w:rPr>
          <w:rFonts w:ascii="Times New Roman" w:hAnsi="Times New Roman" w:cs="Times New Roman"/>
          <w:b/>
          <w:bCs/>
          <w:color w:val="000000"/>
          <w:sz w:val="24"/>
          <w:szCs w:val="24"/>
          <w:lang w:bidi="he-IL"/>
        </w:rPr>
      </w:pPr>
    </w:p>
    <w:p w14:paraId="192B77AF" w14:textId="77777777" w:rsidR="00AF414D"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 xml:space="preserve">Paul’s original audience consisted of believers living in a Roman colony who highly prized and boasted in their Roman identity, public status, and self-honor. As a growing but minority Christian community associated with the imprisoned Paul, the Philippians would have felt tangible pressures to defend their honor and avoid potential shame in the eyes of Roman society. Paul’s intended application was therefore ethical, ecclesial, and Christological: the Philippians were to learn unity and mutual concern by embodying the humility of the divine Christ. Rather than engaging in self-boasting or </w:t>
      </w:r>
      <w:r w:rsidRPr="00F340A6">
        <w:rPr>
          <w:rFonts w:ascii="Times New Roman" w:hAnsi="Times New Roman" w:cs="Times New Roman"/>
          <w:color w:val="000000"/>
          <w:sz w:val="24"/>
          <w:szCs w:val="24"/>
          <w:lang w:bidi="he-IL"/>
        </w:rPr>
        <w:lastRenderedPageBreak/>
        <w:t>self-preservation, the Philippians were to seek the good of one another in the same way Christ obeyed, suffered, and died for the good of His church.</w:t>
      </w:r>
    </w:p>
    <w:p w14:paraId="1554F078" w14:textId="77777777" w:rsidR="00AF414D"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From this original setting, the theological principles in Philippians transcend first-century Philippi and apply to our modern context in remarkably similar ways. The human spiritual condition has not significantly changed in two millennia; the threats to the Christian community in the first century remain the very threats facing the church in the twenty-first. First, Christian unity is fundamentally theological rather than sociological. It is not a mere ethic of civilized society but is rooted in the character and redemptive work of Christ. Second, humility is not merely a personality trait that some exhibit more naturally than others; it is a Gospel-shaped virtue modeled after Christ’s incarnation, obedience, and self-emptying. Third, God exalts those who humble themselves in obedience to His will, and Christ’s exaltation guarantees the vindication of all who share His mind. These principles remain firmly relevant in modern contexts, both Eastern and Western, because they derive from Christ’s nature rather than from cultural norms.</w:t>
      </w:r>
    </w:p>
    <w:p w14:paraId="318808E8" w14:textId="77777777" w:rsidR="00AF414D"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 xml:space="preserve">When applied today in both Eastern and Western cultures, these same principles find expression in distinct ways. In Western settings, individualism, personal rights, and autonomy are directly challenged by who Christ is. Although He could have asserted dominance as the Son of God, He emptied Himself and became a servant. In contrast, East Asian cultures emphasize unity and harmony before individual preference, yet struggle deeply with honor-shame pressures and the desire to preserve one's “face.” Philippians 2:1–11 critiques both frameworks: Western believers inclined toward self-assertion must yield themselves to Christ and His body, while Asian believers inclined to </w:t>
      </w:r>
      <w:r w:rsidRPr="00F340A6">
        <w:rPr>
          <w:rFonts w:ascii="Times New Roman" w:hAnsi="Times New Roman" w:cs="Times New Roman"/>
          <w:color w:val="000000"/>
          <w:sz w:val="24"/>
          <w:szCs w:val="24"/>
          <w:lang w:bidi="he-IL"/>
        </w:rPr>
        <w:lastRenderedPageBreak/>
        <w:t>avoid shame must learn to embrace participation in Christ’s sufferings, redefining shame for Christ as true honor.</w:t>
      </w:r>
    </w:p>
    <w:p w14:paraId="059F7FF9" w14:textId="2A0E4596" w:rsidR="00CE42D7" w:rsidRPr="00F340A6" w:rsidRDefault="00CE42D7" w:rsidP="0044269F">
      <w:pPr>
        <w:autoSpaceDE w:val="0"/>
        <w:autoSpaceDN w:val="0"/>
        <w:adjustRightInd w:val="0"/>
        <w:spacing w:after="0" w:line="480" w:lineRule="auto"/>
        <w:ind w:firstLine="720"/>
        <w:rPr>
          <w:rFonts w:ascii="Times New Roman" w:hAnsi="Times New Roman" w:cs="Times New Roman"/>
          <w:color w:val="000000"/>
          <w:sz w:val="24"/>
          <w:szCs w:val="24"/>
          <w:lang w:bidi="he-IL"/>
        </w:rPr>
      </w:pPr>
      <w:r w:rsidRPr="00F340A6">
        <w:rPr>
          <w:rFonts w:ascii="Times New Roman" w:hAnsi="Times New Roman" w:cs="Times New Roman"/>
          <w:color w:val="000000"/>
          <w:sz w:val="24"/>
          <w:szCs w:val="24"/>
          <w:lang w:bidi="he-IL"/>
        </w:rPr>
        <w:t>In both contexts, local churches</w:t>
      </w:r>
      <w:r w:rsidR="0044269F">
        <w:rPr>
          <w:rFonts w:ascii="Times New Roman" w:hAnsi="Times New Roman" w:cs="Times New Roman"/>
          <w:color w:val="000000"/>
          <w:sz w:val="24"/>
          <w:szCs w:val="24"/>
          <w:lang w:bidi="he-IL"/>
        </w:rPr>
        <w:t xml:space="preserve">, </w:t>
      </w:r>
      <w:r w:rsidRPr="00F340A6">
        <w:rPr>
          <w:rFonts w:ascii="Times New Roman" w:hAnsi="Times New Roman" w:cs="Times New Roman"/>
          <w:color w:val="000000"/>
          <w:sz w:val="24"/>
          <w:szCs w:val="24"/>
          <w:lang w:bidi="he-IL"/>
        </w:rPr>
        <w:t>like the church in Philippi</w:t>
      </w:r>
      <w:r w:rsidR="0044269F">
        <w:rPr>
          <w:rFonts w:ascii="Times New Roman" w:hAnsi="Times New Roman" w:cs="Times New Roman"/>
          <w:color w:val="000000"/>
          <w:sz w:val="24"/>
          <w:szCs w:val="24"/>
          <w:lang w:bidi="he-IL"/>
        </w:rPr>
        <w:t xml:space="preserve">, </w:t>
      </w:r>
      <w:r w:rsidRPr="00F340A6">
        <w:rPr>
          <w:rFonts w:ascii="Times New Roman" w:hAnsi="Times New Roman" w:cs="Times New Roman"/>
          <w:color w:val="000000"/>
          <w:sz w:val="24"/>
          <w:szCs w:val="24"/>
          <w:lang w:bidi="he-IL"/>
        </w:rPr>
        <w:t xml:space="preserve">are called to reject selfish ambition and self-protective strategies that mirror the surrounding culture. Instead, congregations must cultivate mutual regard, sacrificial service, and unity grounded in the Gospel rather than in social expectation, personality, or tradition. These verses compel believers to re-evaluate leadership, measures of success, and the pursuit of honor, especially where suffering or shame accompanies faithfulness to Christ. Paul’s teaching assures believers that such humility is not defeat but the imitation of the One who was “highly exalted” and given “a name which is above every name.” In this way, believers who experience shame for the sake of Christ may expect participation in His exaltation. Philippians 2:1–11 continues to shape the minds of Christians today, exhorting unity and refining the Gospel mission of local churches across both Western and Eastern cultures. </w:t>
      </w:r>
    </w:p>
    <w:p w14:paraId="5D9D2122" w14:textId="77777777" w:rsidR="00AF414D" w:rsidRDefault="00CE42D7" w:rsidP="0067397D">
      <w:pPr>
        <w:autoSpaceDE w:val="0"/>
        <w:autoSpaceDN w:val="0"/>
        <w:adjustRightInd w:val="0"/>
        <w:spacing w:before="360" w:after="0" w:line="480" w:lineRule="auto"/>
        <w:jc w:val="center"/>
        <w:rPr>
          <w:rFonts w:ascii="Times New Roman" w:hAnsi="Times New Roman" w:cs="Times New Roman"/>
          <w:b/>
          <w:bCs/>
          <w:color w:val="0D0D14"/>
          <w:sz w:val="24"/>
          <w:szCs w:val="24"/>
          <w:lang w:bidi="he-IL"/>
        </w:rPr>
      </w:pPr>
      <w:r w:rsidRPr="00F340A6">
        <w:rPr>
          <w:rFonts w:ascii="Times New Roman" w:hAnsi="Times New Roman" w:cs="Times New Roman"/>
          <w:b/>
          <w:bCs/>
          <w:color w:val="0D0D14"/>
          <w:sz w:val="24"/>
          <w:szCs w:val="24"/>
          <w:lang w:bidi="he-IL"/>
        </w:rPr>
        <w:t>Conclusion</w:t>
      </w:r>
    </w:p>
    <w:p w14:paraId="7205E104" w14:textId="77777777" w:rsidR="00AF414D" w:rsidRDefault="00CE42D7" w:rsidP="0044269F">
      <w:pPr>
        <w:autoSpaceDE w:val="0"/>
        <w:autoSpaceDN w:val="0"/>
        <w:adjustRightInd w:val="0"/>
        <w:spacing w:after="0" w:line="480" w:lineRule="auto"/>
        <w:ind w:firstLine="720"/>
        <w:rPr>
          <w:rFonts w:ascii="Times New Roman" w:hAnsi="Times New Roman" w:cs="Times New Roman"/>
          <w:b/>
          <w:bCs/>
          <w:color w:val="0D0D14"/>
          <w:sz w:val="24"/>
          <w:szCs w:val="24"/>
          <w:lang w:bidi="he-IL"/>
        </w:rPr>
      </w:pPr>
      <w:r w:rsidRPr="00F340A6">
        <w:rPr>
          <w:rFonts w:ascii="Times New Roman" w:hAnsi="Times New Roman" w:cs="Times New Roman"/>
          <w:color w:val="0D0D14"/>
          <w:sz w:val="24"/>
          <w:szCs w:val="24"/>
          <w:lang w:bidi="he-IL"/>
        </w:rPr>
        <w:t>Philippians 2:1–11 presents one of the New Testament’s clearest revelations of Christ’s divine nature, voluntary humility, incarnation, obedience, and exaltation. Paul places the Christ Hymn at the center of his ethical exhortation to the Philippians, demonstrating that Christian unity cannot be achieved through social pressure, personality, or moralism. Unity is possible only through Gospel transformation grounded in the self-emptying of the eternal Son of God, who took upon Himself the form of a servant and became obedient unto death. His exaltation, granted by the Father, publicly vindicates Him after His humiliation and affirms that He now bears the name above every name.</w:t>
      </w:r>
    </w:p>
    <w:p w14:paraId="76F0E76C" w14:textId="77777777" w:rsidR="00AF414D" w:rsidRDefault="00CE42D7" w:rsidP="0044269F">
      <w:pPr>
        <w:autoSpaceDE w:val="0"/>
        <w:autoSpaceDN w:val="0"/>
        <w:adjustRightInd w:val="0"/>
        <w:spacing w:after="0" w:line="480" w:lineRule="auto"/>
        <w:ind w:firstLine="720"/>
        <w:rPr>
          <w:rFonts w:ascii="Times New Roman" w:hAnsi="Times New Roman" w:cs="Times New Roman"/>
          <w:b/>
          <w:bCs/>
          <w:color w:val="0D0D14"/>
          <w:sz w:val="24"/>
          <w:szCs w:val="24"/>
          <w:lang w:bidi="he-IL"/>
        </w:rPr>
      </w:pPr>
      <w:r w:rsidRPr="00F340A6">
        <w:rPr>
          <w:rFonts w:ascii="Times New Roman" w:hAnsi="Times New Roman" w:cs="Times New Roman"/>
          <w:color w:val="0D0D14"/>
          <w:sz w:val="24"/>
          <w:szCs w:val="24"/>
          <w:lang w:bidi="he-IL"/>
        </w:rPr>
        <w:lastRenderedPageBreak/>
        <w:t>Through careful study of the passage’s syntax, grammar, theological claims, and Old Testament allusions, this paper has shown that Paul grounds Christian conduct in Christological reality. The participles, clauses, conditional constructions, and literary structure all work together to affirm the preexistence and full deity of Christ. Crowned by the allusion to Isaiah’s prophecy, the passage reveals that its purpose extends beyond poetic beauty: it affirms that Jesus is rightfully worshiped as God.</w:t>
      </w:r>
    </w:p>
    <w:p w14:paraId="171B9D8E" w14:textId="77777777" w:rsidR="00AF414D" w:rsidRDefault="00CE42D7" w:rsidP="0044269F">
      <w:pPr>
        <w:autoSpaceDE w:val="0"/>
        <w:autoSpaceDN w:val="0"/>
        <w:adjustRightInd w:val="0"/>
        <w:spacing w:after="0" w:line="480" w:lineRule="auto"/>
        <w:ind w:firstLine="720"/>
        <w:rPr>
          <w:rFonts w:ascii="Times New Roman" w:hAnsi="Times New Roman" w:cs="Times New Roman"/>
          <w:b/>
          <w:bCs/>
          <w:color w:val="0D0D14"/>
          <w:sz w:val="24"/>
          <w:szCs w:val="24"/>
          <w:lang w:bidi="he-IL"/>
        </w:rPr>
      </w:pPr>
      <w:r w:rsidRPr="00F340A6">
        <w:rPr>
          <w:rFonts w:ascii="Times New Roman" w:hAnsi="Times New Roman" w:cs="Times New Roman"/>
          <w:color w:val="0D0D14"/>
          <w:sz w:val="24"/>
          <w:szCs w:val="24"/>
          <w:lang w:bidi="he-IL"/>
        </w:rPr>
        <w:t>For the original Philippian believers living under Roman honor-shame culture, this passage offered both instruction and encouragement. For contemporary believers in both Western and Eastern contexts, Philippians 2 continues to confront cultural assumptions that often go unchallenged. The Gospel does not endorse selfish ambition or the preservation of one’s “face.” Instead, it forms a community shaped by the mind of Christ, who, although in the form of God, did not exploit His equality with God but emptied Himself, considering the needs of others above His own and obeying the Father perfectly.</w:t>
      </w:r>
    </w:p>
    <w:p w14:paraId="50649DCD" w14:textId="2DC1DA28" w:rsidR="00CE42D7" w:rsidRPr="00AF414D" w:rsidRDefault="00CE42D7" w:rsidP="0044269F">
      <w:pPr>
        <w:autoSpaceDE w:val="0"/>
        <w:autoSpaceDN w:val="0"/>
        <w:adjustRightInd w:val="0"/>
        <w:spacing w:after="0" w:line="480" w:lineRule="auto"/>
        <w:ind w:firstLine="720"/>
        <w:rPr>
          <w:rFonts w:ascii="Times New Roman" w:hAnsi="Times New Roman" w:cs="Times New Roman"/>
          <w:b/>
          <w:bCs/>
          <w:color w:val="0D0D14"/>
          <w:sz w:val="24"/>
          <w:szCs w:val="24"/>
          <w:lang w:bidi="he-IL"/>
        </w:rPr>
      </w:pPr>
      <w:r w:rsidRPr="00F340A6">
        <w:rPr>
          <w:rFonts w:ascii="Times New Roman" w:hAnsi="Times New Roman" w:cs="Times New Roman"/>
          <w:color w:val="0D0D14"/>
          <w:sz w:val="24"/>
          <w:szCs w:val="24"/>
          <w:lang w:bidi="he-IL"/>
        </w:rPr>
        <w:t>Thus, Paul’s exhortation in Philippians 2:1–11 remains essential for the church’s identity and mission. As God’s people embody the humility of Christ, they display to the world the mind of the Master who endured shame yet was vindicated and highly exalted. And those who belong to Christ will likewise share in His vindication and future exaltation. “Let this mind be in you, which was also in Christ Jesus” (KJV).</w:t>
      </w:r>
      <w:r w:rsidR="00AF414D">
        <w:rPr>
          <w:rFonts w:ascii="Times New Roman" w:hAnsi="Times New Roman" w:cs="Times New Roman"/>
          <w:color w:val="0D0D14"/>
          <w:sz w:val="24"/>
          <w:szCs w:val="24"/>
          <w:lang w:bidi="he-IL"/>
        </w:rPr>
        <w:t xml:space="preserve"> </w:t>
      </w:r>
      <w:r w:rsidR="00AF414D" w:rsidRPr="00F340A6">
        <w:rPr>
          <w:rFonts w:ascii="Times New Roman" w:hAnsi="Times New Roman" w:cs="Times New Roman"/>
          <w:color w:val="000000"/>
          <w:sz w:val="24"/>
          <w:szCs w:val="24"/>
          <w:lang w:bidi="he-IL"/>
        </w:rPr>
        <w:t>To God be the glory.</w:t>
      </w:r>
    </w:p>
    <w:p w14:paraId="0CAF8D68" w14:textId="77777777" w:rsidR="00A11654" w:rsidRDefault="00A11654" w:rsidP="0044269F">
      <w:pPr>
        <w:spacing w:after="0"/>
        <w:rPr>
          <w:rFonts w:ascii="Times New Roman" w:hAnsi="Times New Roman" w:cs="Times New Roman"/>
          <w:sz w:val="24"/>
          <w:szCs w:val="24"/>
        </w:rPr>
      </w:pPr>
    </w:p>
    <w:p w14:paraId="2CD951C4" w14:textId="77777777" w:rsidR="00630981" w:rsidRDefault="00630981" w:rsidP="0044269F">
      <w:pPr>
        <w:spacing w:after="0"/>
        <w:rPr>
          <w:rFonts w:ascii="Times New Roman" w:hAnsi="Times New Roman" w:cs="Times New Roman"/>
          <w:sz w:val="24"/>
          <w:szCs w:val="24"/>
        </w:rPr>
      </w:pPr>
    </w:p>
    <w:p w14:paraId="577F7A46" w14:textId="77777777" w:rsidR="00931C0F" w:rsidRPr="00484709" w:rsidRDefault="00931C0F" w:rsidP="00630981">
      <w:pPr>
        <w:spacing w:after="0"/>
        <w:jc w:val="center"/>
        <w:rPr>
          <w:rFonts w:ascii="Times New Roman" w:hAnsi="Times New Roman" w:cs="Times New Roman"/>
          <w:b/>
          <w:bCs/>
          <w:sz w:val="24"/>
          <w:szCs w:val="24"/>
        </w:rPr>
      </w:pPr>
    </w:p>
    <w:p w14:paraId="3FC42C51" w14:textId="77777777" w:rsidR="00931C0F" w:rsidRPr="00484709" w:rsidRDefault="00931C0F" w:rsidP="00630981">
      <w:pPr>
        <w:spacing w:after="0"/>
        <w:jc w:val="center"/>
        <w:rPr>
          <w:rFonts w:ascii="Times New Roman" w:hAnsi="Times New Roman" w:cs="Times New Roman"/>
          <w:b/>
          <w:bCs/>
          <w:sz w:val="24"/>
          <w:szCs w:val="24"/>
        </w:rPr>
      </w:pPr>
    </w:p>
    <w:p w14:paraId="611EE42D" w14:textId="77777777" w:rsidR="00931C0F" w:rsidRPr="00484709" w:rsidRDefault="00931C0F" w:rsidP="00630981">
      <w:pPr>
        <w:spacing w:after="0"/>
        <w:jc w:val="center"/>
        <w:rPr>
          <w:rFonts w:ascii="Times New Roman" w:hAnsi="Times New Roman" w:cs="Times New Roman"/>
          <w:b/>
          <w:bCs/>
          <w:sz w:val="24"/>
          <w:szCs w:val="24"/>
        </w:rPr>
      </w:pPr>
    </w:p>
    <w:p w14:paraId="08EC35DC" w14:textId="77777777" w:rsidR="00931C0F" w:rsidRPr="00484709" w:rsidRDefault="00931C0F" w:rsidP="00630981">
      <w:pPr>
        <w:spacing w:after="0"/>
        <w:jc w:val="center"/>
        <w:rPr>
          <w:rFonts w:ascii="Times New Roman" w:hAnsi="Times New Roman" w:cs="Times New Roman"/>
          <w:b/>
          <w:bCs/>
          <w:sz w:val="24"/>
          <w:szCs w:val="24"/>
        </w:rPr>
      </w:pPr>
    </w:p>
    <w:p w14:paraId="545A04E4" w14:textId="79248416" w:rsidR="00630981" w:rsidRDefault="00630981" w:rsidP="00630981">
      <w:pPr>
        <w:spacing w:after="0"/>
        <w:jc w:val="center"/>
        <w:rPr>
          <w:rFonts w:ascii="Times New Roman" w:hAnsi="Times New Roman" w:cs="Times New Roman"/>
          <w:b/>
          <w:bCs/>
          <w:sz w:val="24"/>
          <w:szCs w:val="24"/>
        </w:rPr>
      </w:pPr>
      <w:r w:rsidRPr="00630981">
        <w:rPr>
          <w:rFonts w:ascii="Times New Roman" w:hAnsi="Times New Roman" w:cs="Times New Roman"/>
          <w:b/>
          <w:bCs/>
          <w:sz w:val="24"/>
          <w:szCs w:val="24"/>
        </w:rPr>
        <w:lastRenderedPageBreak/>
        <w:t>Bibliography</w:t>
      </w:r>
    </w:p>
    <w:p w14:paraId="5C1B24E1" w14:textId="77777777" w:rsidR="00630981" w:rsidRPr="00630981" w:rsidRDefault="00630981" w:rsidP="00630981">
      <w:pPr>
        <w:spacing w:after="0"/>
        <w:jc w:val="center"/>
        <w:rPr>
          <w:rFonts w:ascii="Times New Roman" w:hAnsi="Times New Roman" w:cs="Times New Roman"/>
          <w:b/>
          <w:bCs/>
          <w:sz w:val="24"/>
          <w:szCs w:val="24"/>
        </w:rPr>
      </w:pPr>
    </w:p>
    <w:p w14:paraId="63F73F9E" w14:textId="77777777" w:rsidR="00630981" w:rsidRDefault="00630981" w:rsidP="00630981">
      <w:pPr>
        <w:pStyle w:val="NormalWeb"/>
        <w:spacing w:before="0" w:beforeAutospacing="0" w:after="0" w:afterAutospacing="0"/>
        <w:ind w:left="851" w:hanging="851"/>
        <w:rPr>
          <w:color w:val="0E101A"/>
        </w:rPr>
      </w:pPr>
      <w:r>
        <w:rPr>
          <w:color w:val="0E101A"/>
        </w:rPr>
        <w:t xml:space="preserve">Barnes, Albert, and Robert Frew. </w:t>
      </w:r>
      <w:r>
        <w:rPr>
          <w:rStyle w:val="Emphasis"/>
          <w:color w:val="0E101A"/>
        </w:rPr>
        <w:t>Notes on the New Testament: Philippians, Colossians, and Philemon</w:t>
      </w:r>
      <w:r>
        <w:rPr>
          <w:color w:val="0E101A"/>
        </w:rPr>
        <w:t>. London: Blackie &amp; Son, 1884.</w:t>
      </w:r>
    </w:p>
    <w:p w14:paraId="0CA4A1EF" w14:textId="77777777" w:rsidR="00630981" w:rsidRDefault="00630981" w:rsidP="00630981">
      <w:pPr>
        <w:pStyle w:val="NormalWeb"/>
        <w:spacing w:before="0" w:beforeAutospacing="0" w:after="0" w:afterAutospacing="0"/>
        <w:ind w:left="851" w:hanging="851"/>
        <w:rPr>
          <w:color w:val="0E101A"/>
        </w:rPr>
      </w:pPr>
    </w:p>
    <w:p w14:paraId="1F506AB0" w14:textId="77777777" w:rsidR="00630981" w:rsidRDefault="00630981" w:rsidP="00630981">
      <w:pPr>
        <w:pStyle w:val="NormalWeb"/>
        <w:spacing w:before="0" w:beforeAutospacing="0" w:after="0" w:afterAutospacing="0"/>
        <w:ind w:left="851" w:hanging="851"/>
        <w:rPr>
          <w:color w:val="0E101A"/>
        </w:rPr>
      </w:pPr>
      <w:r>
        <w:rPr>
          <w:color w:val="0E101A"/>
        </w:rPr>
        <w:t xml:space="preserve">Barry, John D., Douglas Mangum, Derek R. Brown, and Michael S. Heiser, eds. </w:t>
      </w:r>
      <w:r>
        <w:rPr>
          <w:rStyle w:val="Emphasis"/>
          <w:color w:val="0E101A"/>
        </w:rPr>
        <w:t>Faithlife Study Bible</w:t>
      </w:r>
      <w:r>
        <w:rPr>
          <w:color w:val="0E101A"/>
        </w:rPr>
        <w:t>. Bellingham, WA: Lexham Press, 2012, 2016.</w:t>
      </w:r>
    </w:p>
    <w:p w14:paraId="47920B95" w14:textId="77777777" w:rsidR="00630981" w:rsidRDefault="00630981" w:rsidP="00630981">
      <w:pPr>
        <w:pStyle w:val="NormalWeb"/>
        <w:spacing w:before="0" w:beforeAutospacing="0" w:after="0" w:afterAutospacing="0"/>
        <w:ind w:left="851" w:hanging="851"/>
        <w:rPr>
          <w:color w:val="0E101A"/>
        </w:rPr>
      </w:pPr>
    </w:p>
    <w:p w14:paraId="6B19B70E" w14:textId="77777777" w:rsidR="00630981" w:rsidRDefault="00630981" w:rsidP="00630981">
      <w:pPr>
        <w:pStyle w:val="NormalWeb"/>
        <w:spacing w:before="0" w:beforeAutospacing="0" w:after="0" w:afterAutospacing="0"/>
        <w:ind w:left="851" w:hanging="851"/>
        <w:rPr>
          <w:color w:val="0E101A"/>
        </w:rPr>
      </w:pPr>
      <w:r>
        <w:rPr>
          <w:color w:val="0E101A"/>
        </w:rPr>
        <w:t xml:space="preserve">Bauer, Walter, Frederick William Danker, William F. Arndt, and F. Wilbur Gingrich. </w:t>
      </w:r>
      <w:r>
        <w:rPr>
          <w:rStyle w:val="Emphasis"/>
          <w:color w:val="0E101A"/>
        </w:rPr>
        <w:t>A Greek-English Lexicon of the New Testament and Other Early Christian Literature</w:t>
      </w:r>
      <w:r>
        <w:rPr>
          <w:color w:val="0E101A"/>
        </w:rPr>
        <w:t>. 3rd ed. Chicago: University of Chicago Press, 2000.</w:t>
      </w:r>
    </w:p>
    <w:p w14:paraId="20CE82D7" w14:textId="77777777" w:rsidR="00630981" w:rsidRDefault="00630981" w:rsidP="00630981">
      <w:pPr>
        <w:pStyle w:val="NormalWeb"/>
        <w:spacing w:before="0" w:beforeAutospacing="0" w:after="0" w:afterAutospacing="0"/>
        <w:ind w:left="851" w:hanging="851"/>
        <w:rPr>
          <w:color w:val="0E101A"/>
        </w:rPr>
      </w:pPr>
    </w:p>
    <w:p w14:paraId="54907B1D" w14:textId="77777777" w:rsidR="00630981" w:rsidRDefault="00630981" w:rsidP="00630981">
      <w:pPr>
        <w:pStyle w:val="NormalWeb"/>
        <w:spacing w:before="0" w:beforeAutospacing="0" w:after="0" w:afterAutospacing="0"/>
        <w:ind w:left="851" w:hanging="851"/>
        <w:rPr>
          <w:color w:val="0E101A"/>
        </w:rPr>
      </w:pPr>
      <w:r>
        <w:rPr>
          <w:color w:val="0E101A"/>
        </w:rPr>
        <w:t xml:space="preserve">Beale, G. K., and D. A. Carson, eds. </w:t>
      </w:r>
      <w:r>
        <w:rPr>
          <w:rStyle w:val="Emphasis"/>
          <w:color w:val="0E101A"/>
        </w:rPr>
        <w:t>Commentary on the New Testament Use of the Old Testament</w:t>
      </w:r>
      <w:r>
        <w:rPr>
          <w:color w:val="0E101A"/>
        </w:rPr>
        <w:t>. Grand Rapids, MI: Baker Academic; Nottingham, UK: Apollos, 2007.</w:t>
      </w:r>
    </w:p>
    <w:p w14:paraId="60541EAC" w14:textId="77777777" w:rsidR="00630981" w:rsidRDefault="00630981" w:rsidP="00630981">
      <w:pPr>
        <w:pStyle w:val="NormalWeb"/>
        <w:spacing w:before="0" w:beforeAutospacing="0" w:after="0" w:afterAutospacing="0"/>
        <w:ind w:left="851" w:hanging="851"/>
        <w:rPr>
          <w:color w:val="0E101A"/>
        </w:rPr>
      </w:pPr>
    </w:p>
    <w:p w14:paraId="45CFD815" w14:textId="77777777" w:rsidR="00630981" w:rsidRDefault="00630981" w:rsidP="00630981">
      <w:pPr>
        <w:pStyle w:val="NormalWeb"/>
        <w:spacing w:before="0" w:beforeAutospacing="0" w:after="0" w:afterAutospacing="0"/>
        <w:ind w:left="851" w:hanging="851"/>
        <w:rPr>
          <w:color w:val="0E101A"/>
        </w:rPr>
      </w:pPr>
      <w:r>
        <w:rPr>
          <w:color w:val="0E101A"/>
        </w:rPr>
        <w:t xml:space="preserve">Ellsworth, Roger. </w:t>
      </w:r>
      <w:r>
        <w:rPr>
          <w:rStyle w:val="Emphasis"/>
          <w:color w:val="0E101A"/>
        </w:rPr>
        <w:t>Opening Up Philippians</w:t>
      </w:r>
      <w:r>
        <w:rPr>
          <w:color w:val="0E101A"/>
        </w:rPr>
        <w:t>. Leominster: Day One Publications, 2004.</w:t>
      </w:r>
    </w:p>
    <w:p w14:paraId="542F5783" w14:textId="77777777" w:rsidR="00630981" w:rsidRDefault="00630981" w:rsidP="00630981">
      <w:pPr>
        <w:pStyle w:val="NormalWeb"/>
        <w:spacing w:before="0" w:beforeAutospacing="0" w:after="0" w:afterAutospacing="0"/>
        <w:ind w:left="851" w:hanging="851"/>
        <w:rPr>
          <w:color w:val="0E101A"/>
        </w:rPr>
      </w:pPr>
    </w:p>
    <w:p w14:paraId="51A18195" w14:textId="77777777" w:rsidR="00630981" w:rsidRDefault="00630981" w:rsidP="00630981">
      <w:pPr>
        <w:pStyle w:val="NormalWeb"/>
        <w:spacing w:before="0" w:beforeAutospacing="0" w:after="0" w:afterAutospacing="0"/>
        <w:ind w:left="851" w:hanging="851"/>
        <w:rPr>
          <w:color w:val="0E101A"/>
        </w:rPr>
      </w:pPr>
      <w:r>
        <w:rPr>
          <w:color w:val="0E101A"/>
        </w:rPr>
        <w:t xml:space="preserve">Exell, Joseph S. </w:t>
      </w:r>
      <w:r>
        <w:rPr>
          <w:rStyle w:val="Emphasis"/>
          <w:color w:val="0E101A"/>
        </w:rPr>
        <w:t>The Biblical Illustrator: Philippians–Colossians</w:t>
      </w:r>
      <w:r>
        <w:rPr>
          <w:color w:val="0E101A"/>
        </w:rPr>
        <w:t>. Vol. 1. New York; Chicago; Toronto; London; Edinburgh: Fleming H. Revell Company, n.d.</w:t>
      </w:r>
    </w:p>
    <w:p w14:paraId="3C619958" w14:textId="77777777" w:rsidR="00630981" w:rsidRDefault="00630981" w:rsidP="00630981">
      <w:pPr>
        <w:pStyle w:val="NormalWeb"/>
        <w:spacing w:before="0" w:beforeAutospacing="0" w:after="0" w:afterAutospacing="0"/>
        <w:ind w:left="851" w:hanging="851"/>
        <w:rPr>
          <w:color w:val="0E101A"/>
        </w:rPr>
      </w:pPr>
    </w:p>
    <w:p w14:paraId="3BF516CF" w14:textId="77777777" w:rsidR="00630981" w:rsidRDefault="00630981" w:rsidP="00630981">
      <w:pPr>
        <w:pStyle w:val="NormalWeb"/>
        <w:spacing w:before="0" w:beforeAutospacing="0" w:after="0" w:afterAutospacing="0"/>
        <w:ind w:left="851" w:hanging="851"/>
        <w:rPr>
          <w:color w:val="0E101A"/>
        </w:rPr>
      </w:pPr>
      <w:r>
        <w:rPr>
          <w:color w:val="0E101A"/>
        </w:rPr>
        <w:t xml:space="preserve">Fee, Gordon D. </w:t>
      </w:r>
      <w:r>
        <w:rPr>
          <w:rStyle w:val="Emphasis"/>
          <w:color w:val="0E101A"/>
        </w:rPr>
        <w:t>Paul’s Letter to the Philippians</w:t>
      </w:r>
      <w:r>
        <w:rPr>
          <w:color w:val="0E101A"/>
        </w:rPr>
        <w:t>. The New International Commentary on the New Testament. Grand Rapids, MI: Wm. B. Eerdmans, 1995.</w:t>
      </w:r>
    </w:p>
    <w:p w14:paraId="6AF56641" w14:textId="77777777" w:rsidR="00630981" w:rsidRDefault="00630981" w:rsidP="00630981">
      <w:pPr>
        <w:pStyle w:val="NormalWeb"/>
        <w:spacing w:before="0" w:beforeAutospacing="0" w:after="0" w:afterAutospacing="0"/>
        <w:ind w:left="851" w:hanging="851"/>
        <w:rPr>
          <w:color w:val="0E101A"/>
        </w:rPr>
      </w:pPr>
    </w:p>
    <w:p w14:paraId="4478C955" w14:textId="77777777" w:rsidR="00630981" w:rsidRDefault="00630981" w:rsidP="00630981">
      <w:pPr>
        <w:pStyle w:val="NormalWeb"/>
        <w:spacing w:before="0" w:beforeAutospacing="0" w:after="0" w:afterAutospacing="0"/>
        <w:ind w:left="851" w:hanging="851"/>
        <w:rPr>
          <w:color w:val="0E101A"/>
        </w:rPr>
      </w:pPr>
      <w:r>
        <w:rPr>
          <w:color w:val="0E101A"/>
        </w:rPr>
        <w:t xml:space="preserve">Foerster, W. “ἁρπαγμός.” In </w:t>
      </w:r>
      <w:r>
        <w:rPr>
          <w:rStyle w:val="Emphasis"/>
          <w:color w:val="0E101A"/>
        </w:rPr>
        <w:t>Theological Dictionary of the New Testament</w:t>
      </w:r>
      <w:r>
        <w:rPr>
          <w:color w:val="0E101A"/>
        </w:rPr>
        <w:t>, edited by Gerhard Kittel and Gerhard Friedrich, translated by Geoffrey W. Bromiley, 1:472–77. Grand Rapids, MI: Eerdmans, 1964–1976.</w:t>
      </w:r>
    </w:p>
    <w:p w14:paraId="0FCECCD6" w14:textId="77777777" w:rsidR="00630981" w:rsidRDefault="00630981" w:rsidP="00630981">
      <w:pPr>
        <w:pStyle w:val="NormalWeb"/>
        <w:spacing w:before="0" w:beforeAutospacing="0" w:after="0" w:afterAutospacing="0"/>
        <w:ind w:left="851" w:hanging="851"/>
        <w:rPr>
          <w:color w:val="0E101A"/>
        </w:rPr>
      </w:pPr>
    </w:p>
    <w:p w14:paraId="68D09C51" w14:textId="77777777" w:rsidR="00630981" w:rsidRDefault="00630981" w:rsidP="00630981">
      <w:pPr>
        <w:pStyle w:val="NormalWeb"/>
        <w:spacing w:before="0" w:beforeAutospacing="0" w:after="0" w:afterAutospacing="0"/>
        <w:ind w:left="851" w:hanging="851"/>
        <w:rPr>
          <w:color w:val="0E101A"/>
        </w:rPr>
      </w:pPr>
      <w:r>
        <w:rPr>
          <w:color w:val="0E101A"/>
        </w:rPr>
        <w:t xml:space="preserve">Greenlee, J. Harold. </w:t>
      </w:r>
      <w:r>
        <w:rPr>
          <w:rStyle w:val="Emphasis"/>
          <w:color w:val="0E101A"/>
        </w:rPr>
        <w:t>An Exegetical Summary of Philippians</w:t>
      </w:r>
      <w:r>
        <w:rPr>
          <w:color w:val="0E101A"/>
        </w:rPr>
        <w:t>. 2nd ed. Dallas, TX: SIL International, 2008.</w:t>
      </w:r>
    </w:p>
    <w:p w14:paraId="6AA7C678" w14:textId="77777777" w:rsidR="00630981" w:rsidRDefault="00630981" w:rsidP="00630981">
      <w:pPr>
        <w:pStyle w:val="NormalWeb"/>
        <w:spacing w:before="0" w:beforeAutospacing="0" w:after="0" w:afterAutospacing="0"/>
        <w:ind w:left="851" w:hanging="851"/>
        <w:rPr>
          <w:color w:val="0E101A"/>
        </w:rPr>
      </w:pPr>
    </w:p>
    <w:p w14:paraId="2609B27C" w14:textId="77777777" w:rsidR="00630981" w:rsidRDefault="00630981" w:rsidP="00630981">
      <w:pPr>
        <w:pStyle w:val="NormalWeb"/>
        <w:spacing w:before="0" w:beforeAutospacing="0" w:after="0" w:afterAutospacing="0"/>
        <w:ind w:left="851" w:hanging="851"/>
        <w:rPr>
          <w:color w:val="0E101A"/>
        </w:rPr>
      </w:pPr>
      <w:r>
        <w:rPr>
          <w:color w:val="0E101A"/>
        </w:rPr>
        <w:t xml:space="preserve">Hawthorne, Gerald F. </w:t>
      </w:r>
      <w:r>
        <w:rPr>
          <w:rStyle w:val="Emphasis"/>
          <w:color w:val="0E101A"/>
        </w:rPr>
        <w:t>Philippians</w:t>
      </w:r>
      <w:r>
        <w:rPr>
          <w:color w:val="0E101A"/>
        </w:rPr>
        <w:t>. Word Biblical Commentary. Waco, TX: Word Books, 1983.</w:t>
      </w:r>
    </w:p>
    <w:p w14:paraId="611BC55C" w14:textId="77777777" w:rsidR="00630981" w:rsidRDefault="00630981" w:rsidP="00630981">
      <w:pPr>
        <w:pStyle w:val="NormalWeb"/>
        <w:spacing w:before="0" w:beforeAutospacing="0" w:after="0" w:afterAutospacing="0"/>
        <w:ind w:left="851" w:hanging="851"/>
        <w:rPr>
          <w:color w:val="0E101A"/>
        </w:rPr>
      </w:pPr>
    </w:p>
    <w:p w14:paraId="5D10F777" w14:textId="77777777" w:rsidR="00630981" w:rsidRDefault="00630981" w:rsidP="00630981">
      <w:pPr>
        <w:pStyle w:val="NormalWeb"/>
        <w:spacing w:before="0" w:beforeAutospacing="0" w:after="0" w:afterAutospacing="0"/>
        <w:ind w:left="851" w:hanging="851"/>
        <w:rPr>
          <w:color w:val="0E101A"/>
        </w:rPr>
      </w:pPr>
      <w:r>
        <w:rPr>
          <w:color w:val="0E101A"/>
        </w:rPr>
        <w:t xml:space="preserve">Hellerman, Joseph H. </w:t>
      </w:r>
      <w:r>
        <w:rPr>
          <w:rStyle w:val="Emphasis"/>
          <w:color w:val="0E101A"/>
        </w:rPr>
        <w:t>Philippians</w:t>
      </w:r>
      <w:r>
        <w:rPr>
          <w:color w:val="0E101A"/>
        </w:rPr>
        <w:t>. Exegetical Guide to the Greek New Testament. Edited by Andreas J. Köstenberger and Robert W. Yarbrough. Nashville, TN: B&amp;H Academic, 2015.</w:t>
      </w:r>
    </w:p>
    <w:p w14:paraId="2664EFC6" w14:textId="77777777" w:rsidR="00630981" w:rsidRDefault="00630981" w:rsidP="00630981">
      <w:pPr>
        <w:pStyle w:val="NormalWeb"/>
        <w:spacing w:before="0" w:beforeAutospacing="0" w:after="0" w:afterAutospacing="0"/>
        <w:ind w:left="851" w:hanging="851"/>
        <w:rPr>
          <w:color w:val="0E101A"/>
        </w:rPr>
      </w:pPr>
    </w:p>
    <w:p w14:paraId="6EF287D0" w14:textId="77777777" w:rsidR="00630981" w:rsidRDefault="00630981" w:rsidP="00630981">
      <w:pPr>
        <w:pStyle w:val="NormalWeb"/>
        <w:spacing w:before="0" w:beforeAutospacing="0" w:after="0" w:afterAutospacing="0"/>
        <w:ind w:left="851" w:hanging="851"/>
        <w:rPr>
          <w:color w:val="0E101A"/>
        </w:rPr>
      </w:pPr>
      <w:r>
        <w:rPr>
          <w:color w:val="0E101A"/>
        </w:rPr>
        <w:t xml:space="preserve">Hoehner, Harold W., Philip W. Comfort, and Peter H. Davids. </w:t>
      </w:r>
      <w:r>
        <w:rPr>
          <w:rStyle w:val="Emphasis"/>
          <w:color w:val="0E101A"/>
        </w:rPr>
        <w:t>Cornerstone Biblical Commentary: Ephesians, Philippians, Colossians, 1 &amp; 2 Thessalonians, Philemon</w:t>
      </w:r>
      <w:r>
        <w:rPr>
          <w:color w:val="0E101A"/>
        </w:rPr>
        <w:t>. Vol. 16. Carol Stream, IL: Tyndale House Publishers, 2008.</w:t>
      </w:r>
    </w:p>
    <w:p w14:paraId="4397800B" w14:textId="77777777" w:rsidR="00630981" w:rsidRDefault="00630981" w:rsidP="00630981">
      <w:pPr>
        <w:pStyle w:val="NormalWeb"/>
        <w:spacing w:before="0" w:beforeAutospacing="0" w:after="0" w:afterAutospacing="0"/>
        <w:ind w:left="851" w:hanging="851"/>
        <w:rPr>
          <w:color w:val="0E101A"/>
        </w:rPr>
      </w:pPr>
    </w:p>
    <w:p w14:paraId="695132DE" w14:textId="77777777" w:rsidR="00630981" w:rsidRDefault="00630981" w:rsidP="00630981">
      <w:pPr>
        <w:pStyle w:val="NormalWeb"/>
        <w:spacing w:before="0" w:beforeAutospacing="0" w:after="0" w:afterAutospacing="0"/>
        <w:ind w:left="851" w:hanging="851"/>
        <w:rPr>
          <w:color w:val="0E101A"/>
        </w:rPr>
      </w:pPr>
      <w:r>
        <w:rPr>
          <w:color w:val="0E101A"/>
        </w:rPr>
        <w:t xml:space="preserve">Jamieson, Robert, A. R. Fausset, and David Brown. </w:t>
      </w:r>
      <w:r>
        <w:rPr>
          <w:rStyle w:val="Emphasis"/>
          <w:color w:val="0E101A"/>
        </w:rPr>
        <w:t>Commentary Critical and Explanatory on the Whole Bible</w:t>
      </w:r>
      <w:r>
        <w:rPr>
          <w:color w:val="0E101A"/>
        </w:rPr>
        <w:t>. Vol. 2. Oak Harbor, WA: Logos Research Systems, Inc., 1997.</w:t>
      </w:r>
    </w:p>
    <w:p w14:paraId="00728565" w14:textId="77777777" w:rsidR="00630981" w:rsidRDefault="00630981" w:rsidP="00630981">
      <w:pPr>
        <w:pStyle w:val="NormalWeb"/>
        <w:spacing w:before="0" w:beforeAutospacing="0" w:after="0" w:afterAutospacing="0"/>
        <w:ind w:left="851" w:hanging="851"/>
        <w:rPr>
          <w:color w:val="0E101A"/>
        </w:rPr>
      </w:pPr>
    </w:p>
    <w:p w14:paraId="6B1955AC" w14:textId="77777777" w:rsidR="00630981" w:rsidRPr="00484709" w:rsidRDefault="00630981" w:rsidP="00630981">
      <w:pPr>
        <w:pStyle w:val="NormalWeb"/>
        <w:spacing w:before="0" w:beforeAutospacing="0" w:after="0" w:afterAutospacing="0"/>
        <w:ind w:left="851" w:hanging="851"/>
        <w:rPr>
          <w:color w:val="0E101A"/>
          <w:lang w:val="en-US"/>
        </w:rPr>
      </w:pPr>
      <w:r>
        <w:rPr>
          <w:color w:val="0E101A"/>
        </w:rPr>
        <w:lastRenderedPageBreak/>
        <w:t xml:space="preserve">Keener, Craig S. </w:t>
      </w:r>
      <w:r>
        <w:rPr>
          <w:rStyle w:val="Emphasis"/>
          <w:color w:val="0E101A"/>
        </w:rPr>
        <w:t>The IVP Bible Background Commentary: New Testament</w:t>
      </w:r>
      <w:r>
        <w:rPr>
          <w:color w:val="0E101A"/>
        </w:rPr>
        <w:t>. Downers Grove, IL: InterVarsity Press, 1993.</w:t>
      </w:r>
    </w:p>
    <w:p w14:paraId="3013A918" w14:textId="77777777" w:rsidR="00931C0F" w:rsidRPr="00484709" w:rsidRDefault="00931C0F" w:rsidP="00630981">
      <w:pPr>
        <w:pStyle w:val="NormalWeb"/>
        <w:spacing w:before="0" w:beforeAutospacing="0" w:after="0" w:afterAutospacing="0"/>
        <w:ind w:left="851" w:hanging="851"/>
        <w:rPr>
          <w:color w:val="0E101A"/>
          <w:lang w:val="en-US"/>
        </w:rPr>
      </w:pPr>
    </w:p>
    <w:p w14:paraId="45F89E52" w14:textId="77777777" w:rsidR="00630981" w:rsidRDefault="00630981" w:rsidP="00630981">
      <w:pPr>
        <w:pStyle w:val="NormalWeb"/>
        <w:spacing w:before="0" w:beforeAutospacing="0" w:after="0" w:afterAutospacing="0"/>
        <w:ind w:left="851" w:hanging="851"/>
        <w:rPr>
          <w:color w:val="0E101A"/>
        </w:rPr>
      </w:pPr>
      <w:r>
        <w:rPr>
          <w:color w:val="0E101A"/>
        </w:rPr>
        <w:t xml:space="preserve">Kent, Homer A., Jr. “Philippians.” In </w:t>
      </w:r>
      <w:r>
        <w:rPr>
          <w:rStyle w:val="Emphasis"/>
          <w:color w:val="0E101A"/>
        </w:rPr>
        <w:t>The Expositor’s Bible Commentary: Ephesians through Philemon</w:t>
      </w:r>
      <w:r>
        <w:rPr>
          <w:color w:val="0E101A"/>
        </w:rPr>
        <w:t>, edited by Frank E. Gaebelein, Vol. 11, 109–168. Grand Rapids, MI: Zondervan, 1981.</w:t>
      </w:r>
    </w:p>
    <w:p w14:paraId="341B704F" w14:textId="77777777" w:rsidR="00630981" w:rsidRDefault="00630981" w:rsidP="00630981">
      <w:pPr>
        <w:pStyle w:val="NormalWeb"/>
        <w:spacing w:before="0" w:beforeAutospacing="0" w:after="0" w:afterAutospacing="0"/>
        <w:ind w:left="851" w:hanging="851"/>
        <w:rPr>
          <w:color w:val="0E101A"/>
        </w:rPr>
      </w:pPr>
    </w:p>
    <w:p w14:paraId="6DDE8CC6" w14:textId="77777777" w:rsidR="00630981" w:rsidRDefault="00630981" w:rsidP="00630981">
      <w:pPr>
        <w:pStyle w:val="NormalWeb"/>
        <w:spacing w:before="0" w:beforeAutospacing="0" w:after="0" w:afterAutospacing="0"/>
        <w:ind w:left="851" w:hanging="851"/>
        <w:rPr>
          <w:color w:val="0E101A"/>
        </w:rPr>
      </w:pPr>
      <w:r>
        <w:rPr>
          <w:color w:val="0E101A"/>
        </w:rPr>
        <w:t xml:space="preserve">Liddell, Henry George, and Robert Scott. </w:t>
      </w:r>
      <w:r>
        <w:rPr>
          <w:rStyle w:val="Emphasis"/>
          <w:color w:val="0E101A"/>
        </w:rPr>
        <w:t>A Greek-English Lexicon</w:t>
      </w:r>
      <w:r>
        <w:rPr>
          <w:color w:val="0E101A"/>
        </w:rPr>
        <w:t>. Revised and edited by Henry Stuart Jones. Oxford: Clarendon Press, 1940.</w:t>
      </w:r>
    </w:p>
    <w:p w14:paraId="55CDFE53" w14:textId="77777777" w:rsidR="00630981" w:rsidRDefault="00630981" w:rsidP="00630981">
      <w:pPr>
        <w:pStyle w:val="NormalWeb"/>
        <w:spacing w:before="0" w:beforeAutospacing="0" w:after="0" w:afterAutospacing="0"/>
        <w:ind w:left="851" w:hanging="851"/>
        <w:rPr>
          <w:color w:val="0E101A"/>
        </w:rPr>
      </w:pPr>
    </w:p>
    <w:p w14:paraId="0DCB71BB" w14:textId="77777777" w:rsidR="00630981" w:rsidRDefault="00630981" w:rsidP="00630981">
      <w:pPr>
        <w:pStyle w:val="NormalWeb"/>
        <w:spacing w:before="0" w:beforeAutospacing="0" w:after="0" w:afterAutospacing="0"/>
        <w:ind w:left="851" w:hanging="851"/>
        <w:rPr>
          <w:color w:val="0E101A"/>
        </w:rPr>
      </w:pPr>
      <w:r>
        <w:rPr>
          <w:color w:val="0E101A"/>
        </w:rPr>
        <w:t xml:space="preserve">Melick, Richard R. </w:t>
      </w:r>
      <w:r>
        <w:rPr>
          <w:rStyle w:val="Emphasis"/>
          <w:color w:val="0E101A"/>
        </w:rPr>
        <w:t>Philippians, Colossians, Philemon</w:t>
      </w:r>
      <w:r>
        <w:rPr>
          <w:color w:val="0E101A"/>
        </w:rPr>
        <w:t>. Vol. 32. The New American Commentary. Nashville, TN: Broadman &amp; Holman, 1991.</w:t>
      </w:r>
    </w:p>
    <w:p w14:paraId="2B6EFE72" w14:textId="77777777" w:rsidR="00630981" w:rsidRDefault="00630981" w:rsidP="00630981">
      <w:pPr>
        <w:pStyle w:val="NormalWeb"/>
        <w:spacing w:before="0" w:beforeAutospacing="0" w:after="0" w:afterAutospacing="0"/>
        <w:ind w:left="851" w:hanging="851"/>
        <w:rPr>
          <w:color w:val="0E101A"/>
        </w:rPr>
      </w:pPr>
    </w:p>
    <w:p w14:paraId="50D6D8B1" w14:textId="77777777" w:rsidR="00630981" w:rsidRDefault="00630981" w:rsidP="00630981">
      <w:pPr>
        <w:pStyle w:val="NormalWeb"/>
        <w:spacing w:before="0" w:beforeAutospacing="0" w:after="0" w:afterAutospacing="0"/>
        <w:ind w:left="851" w:hanging="851"/>
        <w:rPr>
          <w:color w:val="0E101A"/>
        </w:rPr>
      </w:pPr>
      <w:r>
        <w:rPr>
          <w:color w:val="0E101A"/>
        </w:rPr>
        <w:t xml:space="preserve">Moule, H. C. G. </w:t>
      </w:r>
      <w:r>
        <w:rPr>
          <w:rStyle w:val="Emphasis"/>
          <w:color w:val="0E101A"/>
        </w:rPr>
        <w:t>The Epistle to the Philippians, with Introduction and Notes</w:t>
      </w:r>
      <w:r>
        <w:rPr>
          <w:color w:val="0E101A"/>
        </w:rPr>
        <w:t>. The Cambridge Bible for Schools and Colleges. Cambridge: Cambridge University Press, 1893.</w:t>
      </w:r>
    </w:p>
    <w:p w14:paraId="7010FED7" w14:textId="77777777" w:rsidR="00630981" w:rsidRDefault="00630981" w:rsidP="00630981">
      <w:pPr>
        <w:pStyle w:val="NormalWeb"/>
        <w:spacing w:before="0" w:beforeAutospacing="0" w:after="0" w:afterAutospacing="0"/>
        <w:ind w:left="851" w:hanging="851"/>
        <w:rPr>
          <w:color w:val="0E101A"/>
        </w:rPr>
      </w:pPr>
    </w:p>
    <w:p w14:paraId="5D43DC42" w14:textId="77777777" w:rsidR="00630981" w:rsidRDefault="00630981" w:rsidP="00630981">
      <w:pPr>
        <w:pStyle w:val="NormalWeb"/>
        <w:spacing w:before="0" w:beforeAutospacing="0" w:after="0" w:afterAutospacing="0"/>
        <w:ind w:left="851" w:hanging="851"/>
        <w:rPr>
          <w:color w:val="0E101A"/>
        </w:rPr>
      </w:pPr>
      <w:r>
        <w:rPr>
          <w:color w:val="0E101A"/>
        </w:rPr>
        <w:t xml:space="preserve">Rosscup, James E. </w:t>
      </w:r>
      <w:r>
        <w:rPr>
          <w:rStyle w:val="Emphasis"/>
          <w:color w:val="0E101A"/>
        </w:rPr>
        <w:t>An Exposition on Prayer in the Bible: Igniting the Fuel to Flame Our Communication with God</w:t>
      </w:r>
      <w:r>
        <w:rPr>
          <w:color w:val="0E101A"/>
        </w:rPr>
        <w:t>. Bellingham, WA: Lexham Press, 2008.</w:t>
      </w:r>
    </w:p>
    <w:p w14:paraId="39BF44F3" w14:textId="77777777" w:rsidR="00630981" w:rsidRDefault="00630981" w:rsidP="00630981">
      <w:pPr>
        <w:pStyle w:val="NormalWeb"/>
        <w:spacing w:before="0" w:beforeAutospacing="0" w:after="0" w:afterAutospacing="0"/>
        <w:ind w:left="851" w:hanging="851"/>
        <w:rPr>
          <w:color w:val="0E101A"/>
        </w:rPr>
      </w:pPr>
    </w:p>
    <w:p w14:paraId="0F65C7A4" w14:textId="77777777" w:rsidR="00630981" w:rsidRDefault="00630981" w:rsidP="00630981">
      <w:pPr>
        <w:pStyle w:val="NormalWeb"/>
        <w:spacing w:before="0" w:beforeAutospacing="0" w:after="0" w:afterAutospacing="0"/>
        <w:ind w:left="851" w:hanging="851"/>
        <w:rPr>
          <w:color w:val="0E101A"/>
        </w:rPr>
      </w:pPr>
      <w:r>
        <w:rPr>
          <w:color w:val="0E101A"/>
        </w:rPr>
        <w:t xml:space="preserve">Silva, Moisés. </w:t>
      </w:r>
      <w:r>
        <w:rPr>
          <w:rStyle w:val="Emphasis"/>
          <w:color w:val="0E101A"/>
        </w:rPr>
        <w:t>Philippians</w:t>
      </w:r>
      <w:r>
        <w:rPr>
          <w:color w:val="0E101A"/>
        </w:rPr>
        <w:t>. 2nd ed. Baker Exegetical Commentary on the New Testament. Grand Rapids, MI: Baker Academic, 2005.</w:t>
      </w:r>
    </w:p>
    <w:p w14:paraId="13A351C1" w14:textId="77777777" w:rsidR="00630981" w:rsidRDefault="00630981" w:rsidP="00630981">
      <w:pPr>
        <w:pStyle w:val="NormalWeb"/>
        <w:spacing w:before="0" w:beforeAutospacing="0" w:after="0" w:afterAutospacing="0"/>
        <w:ind w:left="851" w:hanging="851"/>
        <w:rPr>
          <w:color w:val="0E101A"/>
        </w:rPr>
      </w:pPr>
    </w:p>
    <w:p w14:paraId="4EA89520" w14:textId="77777777" w:rsidR="00630981" w:rsidRDefault="00630981" w:rsidP="00630981">
      <w:pPr>
        <w:pStyle w:val="NormalWeb"/>
        <w:spacing w:before="0" w:beforeAutospacing="0" w:after="0" w:afterAutospacing="0"/>
        <w:ind w:left="851" w:hanging="851"/>
        <w:rPr>
          <w:color w:val="0E101A"/>
        </w:rPr>
      </w:pPr>
      <w:r>
        <w:rPr>
          <w:color w:val="0E101A"/>
        </w:rPr>
        <w:t xml:space="preserve">Silva, Moisés. “Philippians.” In </w:t>
      </w:r>
      <w:r>
        <w:rPr>
          <w:rStyle w:val="Emphasis"/>
          <w:color w:val="0E101A"/>
        </w:rPr>
        <w:t>Commentary on the New Testament Use of the Old Testament</w:t>
      </w:r>
      <w:r>
        <w:rPr>
          <w:color w:val="0E101A"/>
        </w:rPr>
        <w:t>, edited by G. K. Beale and D. A. Carson, 835–848. Grand Rapids, MI: Baker Academic; Nottingham, UK: Apollos, 2007.</w:t>
      </w:r>
    </w:p>
    <w:p w14:paraId="177025AA" w14:textId="77777777" w:rsidR="00630981" w:rsidRDefault="00630981" w:rsidP="00630981">
      <w:pPr>
        <w:pStyle w:val="NormalWeb"/>
        <w:spacing w:before="0" w:beforeAutospacing="0" w:after="0" w:afterAutospacing="0"/>
        <w:ind w:left="851" w:hanging="851"/>
        <w:rPr>
          <w:color w:val="0E101A"/>
        </w:rPr>
      </w:pPr>
    </w:p>
    <w:p w14:paraId="346DCF75" w14:textId="77777777" w:rsidR="00630981" w:rsidRDefault="00630981" w:rsidP="00630981">
      <w:pPr>
        <w:pStyle w:val="NormalWeb"/>
        <w:spacing w:before="0" w:beforeAutospacing="0" w:after="0" w:afterAutospacing="0"/>
        <w:ind w:left="851" w:hanging="851"/>
        <w:rPr>
          <w:color w:val="0E101A"/>
        </w:rPr>
      </w:pPr>
      <w:r>
        <w:rPr>
          <w:color w:val="0E101A"/>
        </w:rPr>
        <w:t xml:space="preserve">Utley, Robert James. </w:t>
      </w:r>
      <w:r>
        <w:rPr>
          <w:rStyle w:val="Emphasis"/>
          <w:color w:val="0E101A"/>
        </w:rPr>
        <w:t>Paul Bound, the Gospel Unbound: Letters from Prison</w:t>
      </w:r>
      <w:r>
        <w:rPr>
          <w:color w:val="0E101A"/>
        </w:rPr>
        <w:t>. Vol. 8 of the Study Guide Commentary Series. Marshall, TX: Bible Lessons International, 1997.</w:t>
      </w:r>
    </w:p>
    <w:p w14:paraId="703F729F" w14:textId="77777777" w:rsidR="00630981" w:rsidRDefault="00630981" w:rsidP="00630981">
      <w:pPr>
        <w:pStyle w:val="NormalWeb"/>
        <w:spacing w:before="0" w:beforeAutospacing="0" w:after="0" w:afterAutospacing="0"/>
        <w:ind w:left="851" w:hanging="851"/>
        <w:rPr>
          <w:color w:val="0E101A"/>
        </w:rPr>
      </w:pPr>
    </w:p>
    <w:p w14:paraId="73BC8561" w14:textId="77777777" w:rsidR="00630981" w:rsidRDefault="00630981" w:rsidP="00630981">
      <w:pPr>
        <w:pStyle w:val="NormalWeb"/>
        <w:spacing w:before="0" w:beforeAutospacing="0" w:after="0" w:afterAutospacing="0"/>
        <w:ind w:left="851" w:hanging="851"/>
        <w:rPr>
          <w:color w:val="0E101A"/>
        </w:rPr>
      </w:pPr>
      <w:r>
        <w:rPr>
          <w:color w:val="0E101A"/>
        </w:rPr>
        <w:t xml:space="preserve">Wallace, Daniel B. </w:t>
      </w:r>
      <w:r>
        <w:rPr>
          <w:rStyle w:val="Emphasis"/>
          <w:color w:val="0E101A"/>
        </w:rPr>
        <w:t>Greek Grammar Beyond the Basics: An Exegetical Syntax of the New Testament</w:t>
      </w:r>
      <w:r>
        <w:rPr>
          <w:color w:val="0E101A"/>
        </w:rPr>
        <w:t>. Grand Rapids, MI: Zondervan, 1996.</w:t>
      </w:r>
    </w:p>
    <w:p w14:paraId="43388F42" w14:textId="77777777" w:rsidR="00630981" w:rsidRPr="00F340A6" w:rsidRDefault="00630981" w:rsidP="00630981">
      <w:pPr>
        <w:spacing w:after="0"/>
        <w:rPr>
          <w:rFonts w:ascii="Times New Roman" w:hAnsi="Times New Roman" w:cs="Times New Roman"/>
          <w:sz w:val="24"/>
          <w:szCs w:val="24"/>
        </w:rPr>
      </w:pPr>
    </w:p>
    <w:sectPr w:rsidR="00630981" w:rsidRPr="00F340A6" w:rsidSect="00650242">
      <w:headerReference w:type="default" r:id="rId14"/>
      <w:footerReference w:type="default" r:id="rId15"/>
      <w:pgSz w:w="12240" w:h="15840"/>
      <w:pgMar w:top="1440" w:right="1797" w:bottom="1440" w:left="1797"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07380" w14:textId="77777777" w:rsidR="00130332" w:rsidRDefault="00130332">
      <w:pPr>
        <w:spacing w:after="0" w:line="240" w:lineRule="auto"/>
      </w:pPr>
      <w:r>
        <w:separator/>
      </w:r>
    </w:p>
  </w:endnote>
  <w:endnote w:type="continuationSeparator" w:id="0">
    <w:p w14:paraId="7B7F624E" w14:textId="77777777" w:rsidR="00130332" w:rsidRDefault="00130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01699543"/>
      <w:docPartObj>
        <w:docPartGallery w:val="Page Numbers (Bottom of Page)"/>
        <w:docPartUnique/>
      </w:docPartObj>
    </w:sdtPr>
    <w:sdtContent>
      <w:p w14:paraId="439A3EC9" w14:textId="0F60DC45" w:rsidR="00650242" w:rsidRDefault="00650242" w:rsidP="00571A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773012549"/>
      <w:docPartObj>
        <w:docPartGallery w:val="Page Numbers (Bottom of Page)"/>
        <w:docPartUnique/>
      </w:docPartObj>
    </w:sdtPr>
    <w:sdtContent>
      <w:p w14:paraId="3B3B9476" w14:textId="6904672C" w:rsidR="00876ED9" w:rsidRDefault="00876ED9" w:rsidP="00571A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6CDB739" w14:textId="77777777" w:rsidR="00876ED9" w:rsidRDefault="00876E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5676025"/>
      <w:docPartObj>
        <w:docPartGallery w:val="Page Numbers (Bottom of Page)"/>
        <w:docPartUnique/>
      </w:docPartObj>
    </w:sdtPr>
    <w:sdtContent>
      <w:p w14:paraId="169E46E4" w14:textId="0745525F" w:rsidR="00571A2C" w:rsidRDefault="00571A2C" w:rsidP="00F40ED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7B4A3ACD" w14:textId="77777777" w:rsidR="00876ED9" w:rsidRDefault="00876ED9" w:rsidP="00876ED9">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F5D98" w14:textId="7B8C66C6" w:rsidR="00571A2C" w:rsidRDefault="00571A2C" w:rsidP="00F40ED3">
    <w:pPr>
      <w:pStyle w:val="Footer"/>
      <w:framePr w:wrap="none" w:vAnchor="text" w:hAnchor="margin" w:xAlign="center" w:y="1"/>
      <w:rPr>
        <w:rStyle w:val="PageNumber"/>
      </w:rPr>
    </w:pPr>
  </w:p>
  <w:p w14:paraId="240910AE" w14:textId="77777777" w:rsidR="00571A2C" w:rsidRDefault="00571A2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248A6" w14:textId="77777777" w:rsidR="00650242" w:rsidRDefault="00650242" w:rsidP="00876ED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CE067" w14:textId="77777777" w:rsidR="00130332" w:rsidRDefault="00130332">
      <w:pPr>
        <w:spacing w:after="0" w:line="240" w:lineRule="auto"/>
      </w:pPr>
      <w:r>
        <w:separator/>
      </w:r>
    </w:p>
  </w:footnote>
  <w:footnote w:type="continuationSeparator" w:id="0">
    <w:p w14:paraId="329A093F" w14:textId="77777777" w:rsidR="00130332" w:rsidRDefault="00130332">
      <w:pPr>
        <w:spacing w:after="0" w:line="240" w:lineRule="auto"/>
      </w:pPr>
      <w:r>
        <w:continuationSeparator/>
      </w:r>
    </w:p>
  </w:footnote>
  <w:footnote w:id="1">
    <w:p w14:paraId="598FBFEF" w14:textId="6B35E317" w:rsidR="004B7B91" w:rsidRPr="001E0AFE" w:rsidRDefault="004B7B91" w:rsidP="004B7B9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00F340A6" w:rsidRPr="001E0AFE">
        <w:rPr>
          <w:rFonts w:ascii="Times New Roman" w:hAnsi="Times New Roman" w:cs="Times New Roman"/>
        </w:rPr>
        <w:t xml:space="preserve"> Moisés Silva, </w:t>
      </w:r>
      <w:r w:rsidR="00F340A6" w:rsidRPr="001E0AFE">
        <w:rPr>
          <w:rStyle w:val="Emphasis"/>
          <w:rFonts w:ascii="Times New Roman" w:hAnsi="Times New Roman" w:cs="Times New Roman"/>
          <w:color w:val="0E101A"/>
        </w:rPr>
        <w:t>Philippians</w:t>
      </w:r>
      <w:r w:rsidR="00F340A6" w:rsidRPr="001E0AFE">
        <w:rPr>
          <w:rFonts w:ascii="Times New Roman" w:hAnsi="Times New Roman" w:cs="Times New Roman"/>
        </w:rPr>
        <w:t>, 2nd ed., Baker Exegetical Commentary on the New Testament (Grand Rapids, MI: Baker Academic, 2005), 1.</w:t>
      </w:r>
      <w:r w:rsidRPr="001E0AFE">
        <w:rPr>
          <w:rFonts w:ascii="Times New Roman" w:hAnsi="Times New Roman" w:cs="Times New Roman"/>
        </w:rPr>
        <w:t xml:space="preserve"> </w:t>
      </w:r>
    </w:p>
  </w:footnote>
  <w:footnote w:id="2">
    <w:p w14:paraId="06B692D8" w14:textId="77777777" w:rsidR="00F340A6" w:rsidRPr="001E0AFE" w:rsidRDefault="00F340A6">
      <w:pPr>
        <w:pStyle w:val="FootnoteText"/>
        <w:rPr>
          <w:rFonts w:ascii="Times New Roman" w:hAnsi="Times New Roman" w:cs="Times New Roman"/>
        </w:rPr>
      </w:pPr>
    </w:p>
    <w:p w14:paraId="62DE5AFA" w14:textId="49717613"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Joseph H. 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ed. Andreas J. Köstenberger and Robert W. Yarbrough, Exegetical Guide to the Greek New Testament (Nashville, TN: B&amp;H Academic, 2015), 3.</w:t>
      </w:r>
    </w:p>
  </w:footnote>
  <w:footnote w:id="3">
    <w:p w14:paraId="313D911F" w14:textId="65F7DDFF"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1E0AFE" w:rsidRPr="001E0AFE">
        <w:rPr>
          <w:rFonts w:ascii="Times New Roman" w:hAnsi="Times New Roman" w:cs="Times New Roman"/>
        </w:rPr>
        <w:t xml:space="preserve">Hellerman, </w:t>
      </w:r>
      <w:r w:rsidR="001E0AFE" w:rsidRPr="001E0AFE">
        <w:rPr>
          <w:rStyle w:val="Emphasis"/>
          <w:rFonts w:ascii="Times New Roman" w:hAnsi="Times New Roman" w:cs="Times New Roman"/>
        </w:rPr>
        <w:t>Philippians</w:t>
      </w:r>
      <w:r w:rsidR="001E0AFE" w:rsidRPr="001E0AFE">
        <w:rPr>
          <w:rFonts w:ascii="Times New Roman" w:hAnsi="Times New Roman" w:cs="Times New Roman"/>
        </w:rPr>
        <w:t>, 3.</w:t>
      </w:r>
    </w:p>
  </w:footnote>
  <w:footnote w:id="4">
    <w:p w14:paraId="51DE18B6" w14:textId="77777777" w:rsidR="00F340A6" w:rsidRPr="001E0AFE" w:rsidRDefault="00F340A6">
      <w:pPr>
        <w:pStyle w:val="FootnoteText"/>
        <w:rPr>
          <w:rFonts w:ascii="Times New Roman" w:hAnsi="Times New Roman" w:cs="Times New Roman"/>
        </w:rPr>
      </w:pPr>
    </w:p>
    <w:p w14:paraId="61A099AD" w14:textId="4DD3B569"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Gordon D. Fee, </w:t>
      </w:r>
      <w:r w:rsidRPr="001E0AFE">
        <w:rPr>
          <w:rFonts w:ascii="Times New Roman" w:hAnsi="Times New Roman" w:cs="Times New Roman"/>
          <w:i/>
          <w:iCs/>
          <w:color w:val="0D0D14"/>
          <w:lang w:bidi="he-IL"/>
        </w:rPr>
        <w:t>Paul’s Letter to the Philippians</w:t>
      </w:r>
      <w:r w:rsidRPr="001E0AFE">
        <w:rPr>
          <w:rFonts w:ascii="Times New Roman" w:hAnsi="Times New Roman" w:cs="Times New Roman"/>
          <w:color w:val="0D0D14"/>
          <w:lang w:bidi="he-IL"/>
        </w:rPr>
        <w:t>, The New International Commentary on the New Testament (Grand Rapids, MI: Wm. B. Eerdmans Publishing Co., 1995), 37.</w:t>
      </w:r>
    </w:p>
  </w:footnote>
  <w:footnote w:id="5">
    <w:p w14:paraId="397F350B" w14:textId="77777777" w:rsidR="00F340A6" w:rsidRPr="001E0AFE" w:rsidRDefault="00F340A6">
      <w:pPr>
        <w:pStyle w:val="FootnoteText"/>
        <w:rPr>
          <w:rFonts w:ascii="Times New Roman" w:hAnsi="Times New Roman" w:cs="Times New Roman"/>
        </w:rPr>
      </w:pPr>
    </w:p>
    <w:p w14:paraId="4EFF84B2" w14:textId="632D49A3"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3.</w:t>
      </w:r>
    </w:p>
  </w:footnote>
  <w:footnote w:id="6">
    <w:p w14:paraId="4BE4D6AF" w14:textId="77777777" w:rsidR="00F340A6" w:rsidRPr="001E0AFE" w:rsidRDefault="00F340A6">
      <w:pPr>
        <w:pStyle w:val="FootnoteText"/>
        <w:rPr>
          <w:rFonts w:ascii="Times New Roman" w:hAnsi="Times New Roman" w:cs="Times New Roman"/>
        </w:rPr>
      </w:pPr>
    </w:p>
    <w:p w14:paraId="44A8F41F" w14:textId="2163E357"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4.</w:t>
      </w:r>
    </w:p>
  </w:footnote>
  <w:footnote w:id="7">
    <w:p w14:paraId="7407616D" w14:textId="77777777" w:rsidR="00F340A6" w:rsidRPr="001E0AFE" w:rsidRDefault="00F340A6">
      <w:pPr>
        <w:pStyle w:val="FootnoteText"/>
        <w:rPr>
          <w:rFonts w:ascii="Times New Roman" w:hAnsi="Times New Roman" w:cs="Times New Roman"/>
        </w:rPr>
      </w:pPr>
    </w:p>
    <w:p w14:paraId="707DAACA" w14:textId="3F507987"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Fee, </w:t>
      </w:r>
      <w:r w:rsidRPr="001E0AFE">
        <w:rPr>
          <w:rFonts w:ascii="Times New Roman" w:hAnsi="Times New Roman" w:cs="Times New Roman"/>
          <w:i/>
          <w:iCs/>
          <w:color w:val="0D0D14"/>
          <w:lang w:bidi="he-IL"/>
        </w:rPr>
        <w:t>Paul’s Letter to the Philippians</w:t>
      </w:r>
      <w:r w:rsidRPr="001E0AFE">
        <w:rPr>
          <w:rFonts w:ascii="Times New Roman" w:hAnsi="Times New Roman" w:cs="Times New Roman"/>
          <w:color w:val="0D0D14"/>
          <w:lang w:bidi="he-IL"/>
        </w:rPr>
        <w:t>, 35.</w:t>
      </w:r>
    </w:p>
  </w:footnote>
  <w:footnote w:id="8">
    <w:p w14:paraId="73813C9F" w14:textId="6F5A15B1"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Fee, </w:t>
      </w:r>
      <w:r w:rsidRPr="001E0AFE">
        <w:rPr>
          <w:rFonts w:ascii="Times New Roman" w:hAnsi="Times New Roman" w:cs="Times New Roman"/>
          <w:i/>
          <w:iCs/>
          <w:color w:val="0D0D14"/>
          <w:lang w:bidi="he-IL"/>
        </w:rPr>
        <w:t>Paul’s Letter to the Philippians</w:t>
      </w:r>
      <w:r w:rsidRPr="001E0AFE">
        <w:rPr>
          <w:rFonts w:ascii="Times New Roman" w:hAnsi="Times New Roman" w:cs="Times New Roman"/>
          <w:color w:val="0D0D14"/>
          <w:lang w:bidi="he-IL"/>
        </w:rPr>
        <w:t>, 27.</w:t>
      </w:r>
    </w:p>
  </w:footnote>
  <w:footnote w:id="9">
    <w:p w14:paraId="6F180916" w14:textId="77777777" w:rsidR="00F340A6" w:rsidRPr="001E0AFE" w:rsidRDefault="00F340A6">
      <w:pPr>
        <w:pStyle w:val="FootnoteText"/>
        <w:rPr>
          <w:rFonts w:ascii="Times New Roman" w:hAnsi="Times New Roman" w:cs="Times New Roman"/>
        </w:rPr>
      </w:pPr>
    </w:p>
    <w:p w14:paraId="40DBFE80" w14:textId="07D94D1C"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28.</w:t>
      </w:r>
    </w:p>
  </w:footnote>
  <w:footnote w:id="10">
    <w:p w14:paraId="7B7984A6" w14:textId="77777777" w:rsidR="00F340A6" w:rsidRPr="001E0AFE" w:rsidRDefault="00F340A6">
      <w:pPr>
        <w:pStyle w:val="FootnoteText"/>
        <w:rPr>
          <w:rFonts w:ascii="Times New Roman" w:hAnsi="Times New Roman" w:cs="Times New Roman"/>
        </w:rPr>
      </w:pPr>
    </w:p>
    <w:p w14:paraId="25BECC35" w14:textId="2CAF55DE"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29</w:t>
      </w:r>
      <w:r w:rsidR="00B5747B" w:rsidRPr="001E0AFE">
        <w:rPr>
          <w:rFonts w:ascii="Times New Roman" w:hAnsi="Times New Roman" w:cs="Times New Roman"/>
          <w:color w:val="0D0D14"/>
          <w:lang w:bidi="he-IL"/>
        </w:rPr>
        <w:t>.</w:t>
      </w:r>
    </w:p>
  </w:footnote>
  <w:footnote w:id="11">
    <w:p w14:paraId="01E6E6B9" w14:textId="77777777" w:rsidR="00F340A6" w:rsidRPr="001E0AFE" w:rsidRDefault="00F340A6">
      <w:pPr>
        <w:pStyle w:val="FootnoteText"/>
        <w:rPr>
          <w:rFonts w:ascii="Times New Roman" w:hAnsi="Times New Roman" w:cs="Times New Roman"/>
        </w:rPr>
      </w:pPr>
    </w:p>
    <w:p w14:paraId="6AF98377" w14:textId="695DDF3F"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Ibid., 30.</w:t>
      </w:r>
    </w:p>
  </w:footnote>
  <w:footnote w:id="12">
    <w:p w14:paraId="32241BA7" w14:textId="77777777" w:rsidR="00F340A6" w:rsidRPr="001E0AFE" w:rsidRDefault="00F340A6">
      <w:pPr>
        <w:pStyle w:val="FootnoteText"/>
        <w:rPr>
          <w:rFonts w:ascii="Times New Roman" w:hAnsi="Times New Roman" w:cs="Times New Roman"/>
        </w:rPr>
      </w:pPr>
    </w:p>
    <w:p w14:paraId="2C184D3E" w14:textId="39040384"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Ibid., 29.</w:t>
      </w:r>
    </w:p>
  </w:footnote>
  <w:footnote w:id="13">
    <w:p w14:paraId="48A51F2F" w14:textId="70AE17AD"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 xml:space="preserve">Fee, </w:t>
      </w:r>
      <w:r w:rsidR="00B5747B" w:rsidRPr="001E0AFE">
        <w:rPr>
          <w:rFonts w:ascii="Times New Roman" w:hAnsi="Times New Roman" w:cs="Times New Roman"/>
          <w:i/>
          <w:iCs/>
          <w:color w:val="0D0D14"/>
          <w:lang w:bidi="he-IL"/>
        </w:rPr>
        <w:t>Paul’s Letter to the Philippians</w:t>
      </w:r>
      <w:r w:rsidR="00B5747B" w:rsidRPr="001E0AFE">
        <w:rPr>
          <w:rFonts w:ascii="Times New Roman" w:hAnsi="Times New Roman" w:cs="Times New Roman"/>
          <w:color w:val="0D0D14"/>
          <w:lang w:bidi="he-IL"/>
        </w:rPr>
        <w:t>, 32.</w:t>
      </w:r>
    </w:p>
  </w:footnote>
  <w:footnote w:id="14">
    <w:p w14:paraId="4A27069E" w14:textId="77777777" w:rsidR="00F340A6" w:rsidRPr="001E0AFE" w:rsidRDefault="00F340A6">
      <w:pPr>
        <w:pStyle w:val="FootnoteText"/>
        <w:rPr>
          <w:rFonts w:ascii="Times New Roman" w:hAnsi="Times New Roman" w:cs="Times New Roman"/>
        </w:rPr>
      </w:pPr>
    </w:p>
    <w:p w14:paraId="3E9F4392" w14:textId="0CC8753A"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Ibid., 25–26.</w:t>
      </w:r>
    </w:p>
  </w:footnote>
  <w:footnote w:id="15">
    <w:p w14:paraId="729BEFA3" w14:textId="77777777" w:rsidR="00F340A6" w:rsidRPr="001E0AFE" w:rsidRDefault="00F340A6">
      <w:pPr>
        <w:pStyle w:val="FootnoteText"/>
        <w:rPr>
          <w:rFonts w:ascii="Times New Roman" w:hAnsi="Times New Roman" w:cs="Times New Roman"/>
        </w:rPr>
      </w:pPr>
    </w:p>
    <w:p w14:paraId="57D32001" w14:textId="56FD9A18"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 xml:space="preserve">G. Walter Hansen, </w:t>
      </w:r>
      <w:r w:rsidR="00B5747B" w:rsidRPr="001E0AFE">
        <w:rPr>
          <w:rFonts w:ascii="Times New Roman" w:hAnsi="Times New Roman" w:cs="Times New Roman"/>
          <w:i/>
          <w:iCs/>
          <w:color w:val="0D0D14"/>
          <w:lang w:bidi="he-IL"/>
        </w:rPr>
        <w:t>The Letter to the Philippians</w:t>
      </w:r>
      <w:r w:rsidR="00B5747B" w:rsidRPr="001E0AFE">
        <w:rPr>
          <w:rFonts w:ascii="Times New Roman" w:hAnsi="Times New Roman" w:cs="Times New Roman"/>
          <w:color w:val="0D0D14"/>
          <w:lang w:bidi="he-IL"/>
        </w:rPr>
        <w:t>, The Pillar New Testament Commentary (Grand Rapids, MI; Nottingham, England: William B. Eerdmans Publishing Company, 2009), 3.</w:t>
      </w:r>
    </w:p>
  </w:footnote>
  <w:footnote w:id="16">
    <w:p w14:paraId="6CDFF0DE" w14:textId="77777777" w:rsidR="00F340A6" w:rsidRPr="001E0AFE" w:rsidRDefault="00F340A6">
      <w:pPr>
        <w:pStyle w:val="FootnoteText"/>
        <w:rPr>
          <w:rFonts w:ascii="Times New Roman" w:hAnsi="Times New Roman" w:cs="Times New Roman"/>
        </w:rPr>
      </w:pPr>
    </w:p>
    <w:p w14:paraId="2C338C7C" w14:textId="4455282B" w:rsidR="00F340A6" w:rsidRPr="001E0AFE" w:rsidRDefault="00F340A6" w:rsidP="00F340A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 xml:space="preserve">Halvor Moxnes, “Honor and Shame,” in </w:t>
      </w:r>
      <w:r w:rsidR="00B5747B" w:rsidRPr="001E0AFE">
        <w:rPr>
          <w:rFonts w:ascii="Times New Roman" w:hAnsi="Times New Roman" w:cs="Times New Roman"/>
          <w:i/>
          <w:iCs/>
          <w:color w:val="0D0D14"/>
          <w:lang w:bidi="he-IL"/>
        </w:rPr>
        <w:t>The Social Sciences and New Testament Interpretation</w:t>
      </w:r>
      <w:r w:rsidR="00B5747B" w:rsidRPr="001E0AFE">
        <w:rPr>
          <w:rFonts w:ascii="Times New Roman" w:hAnsi="Times New Roman" w:cs="Times New Roman"/>
          <w:color w:val="0D0D14"/>
          <w:lang w:bidi="he-IL"/>
        </w:rPr>
        <w:t>, ed. Richard Rohrbaugh (Peabody, MA: Hendrickson Publishers, 1996), 36.</w:t>
      </w:r>
    </w:p>
  </w:footnote>
  <w:footnote w:id="17">
    <w:p w14:paraId="3473C420" w14:textId="0CFEF3DA" w:rsidR="00F340A6" w:rsidRPr="001E0AFE" w:rsidRDefault="00F340A6" w:rsidP="00B5747B">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 xml:space="preserve">James Harrison, </w:t>
      </w:r>
      <w:r w:rsidR="00B5747B" w:rsidRPr="001E0AFE">
        <w:rPr>
          <w:rFonts w:ascii="Times New Roman" w:hAnsi="Times New Roman" w:cs="Times New Roman"/>
          <w:i/>
          <w:iCs/>
          <w:color w:val="0D0D14"/>
          <w:lang w:bidi="he-IL"/>
        </w:rPr>
        <w:t>The First Urban Churches: Roman Philippi</w:t>
      </w:r>
      <w:r w:rsidR="00B5747B" w:rsidRPr="001E0AFE">
        <w:rPr>
          <w:rFonts w:ascii="Times New Roman" w:hAnsi="Times New Roman" w:cs="Times New Roman"/>
          <w:color w:val="0D0D14"/>
          <w:lang w:bidi="he-IL"/>
        </w:rPr>
        <w:t>, vol. 4 (Atlanta: SBL Press, 2018), 334.</w:t>
      </w:r>
    </w:p>
    <w:p w14:paraId="3705C57E" w14:textId="77777777" w:rsidR="00B5747B" w:rsidRPr="001E0AFE" w:rsidRDefault="00B5747B" w:rsidP="00B5747B">
      <w:pPr>
        <w:pStyle w:val="FootnoteText"/>
        <w:ind w:firstLine="720"/>
        <w:rPr>
          <w:rFonts w:ascii="Times New Roman" w:hAnsi="Times New Roman" w:cs="Times New Roman"/>
        </w:rPr>
      </w:pPr>
    </w:p>
  </w:footnote>
  <w:footnote w:id="18">
    <w:p w14:paraId="7A9D3BEC" w14:textId="2E35ACB2" w:rsidR="00F340A6" w:rsidRPr="001E0AFE" w:rsidRDefault="00F340A6" w:rsidP="00F340A6">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5747B" w:rsidRPr="001E0AFE">
        <w:rPr>
          <w:rFonts w:ascii="Times New Roman" w:hAnsi="Times New Roman" w:cs="Times New Roman"/>
          <w:color w:val="0D0D14"/>
          <w:lang w:bidi="he-IL"/>
        </w:rPr>
        <w:t xml:space="preserve">Hellerman, </w:t>
      </w:r>
      <w:r w:rsidR="00B5747B" w:rsidRPr="001E0AFE">
        <w:rPr>
          <w:rFonts w:ascii="Times New Roman" w:hAnsi="Times New Roman" w:cs="Times New Roman"/>
          <w:i/>
          <w:iCs/>
          <w:color w:val="0D0D14"/>
          <w:lang w:bidi="he-IL"/>
        </w:rPr>
        <w:t>Philippians</w:t>
      </w:r>
      <w:r w:rsidR="00B5747B" w:rsidRPr="001E0AFE">
        <w:rPr>
          <w:rFonts w:ascii="Times New Roman" w:hAnsi="Times New Roman" w:cs="Times New Roman"/>
          <w:color w:val="0D0D14"/>
          <w:lang w:bidi="he-IL"/>
        </w:rPr>
        <w:t>, 62–64.</w:t>
      </w:r>
    </w:p>
  </w:footnote>
  <w:footnote w:id="19">
    <w:p w14:paraId="39A3A860" w14:textId="11D6F394"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Bruce Manning Metzger, </w:t>
      </w:r>
      <w:r w:rsidRPr="001E0AFE">
        <w:rPr>
          <w:rFonts w:ascii="Times New Roman" w:hAnsi="Times New Roman" w:cs="Times New Roman"/>
          <w:i/>
          <w:iCs/>
          <w:color w:val="0D0D14"/>
          <w:lang w:bidi="he-IL"/>
        </w:rPr>
        <w:t>A Textual Commentary on the Greek New Testament</w:t>
      </w:r>
      <w:r w:rsidRPr="001E0AFE">
        <w:rPr>
          <w:rFonts w:ascii="Times New Roman" w:hAnsi="Times New Roman" w:cs="Times New Roman"/>
          <w:color w:val="0D0D14"/>
          <w:lang w:bidi="he-IL"/>
        </w:rPr>
        <w:t>, 2nd ed., a Companion Volume to the United Bible Societies’ Greek New Testament (4th rev. ed.) (London and New York: United Bible Societies, 1994), 545.</w:t>
      </w:r>
    </w:p>
  </w:footnote>
  <w:footnote w:id="20">
    <w:p w14:paraId="59993AB0" w14:textId="77777777" w:rsidR="00E841DD" w:rsidRPr="001E0AFE" w:rsidRDefault="00E841DD">
      <w:pPr>
        <w:pStyle w:val="FootnoteText"/>
        <w:rPr>
          <w:rFonts w:ascii="Times New Roman" w:hAnsi="Times New Roman" w:cs="Times New Roman"/>
          <w:lang w:eastAsia="zh-TW"/>
        </w:rPr>
      </w:pPr>
    </w:p>
    <w:p w14:paraId="14602922" w14:textId="77AC94A4"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Bruce M. Metzger and Bart D. Ehrman, </w:t>
      </w:r>
      <w:r w:rsidRPr="001E0AFE">
        <w:rPr>
          <w:rFonts w:ascii="Times New Roman" w:hAnsi="Times New Roman" w:cs="Times New Roman"/>
          <w:i/>
          <w:iCs/>
          <w:color w:val="0D0D14"/>
          <w:lang w:bidi="he-IL"/>
        </w:rPr>
        <w:t>The Text of the New Testament: Its Transmission, Corruption, and Restoration</w:t>
      </w:r>
      <w:r w:rsidRPr="001E0AFE">
        <w:rPr>
          <w:rFonts w:ascii="Times New Roman" w:hAnsi="Times New Roman" w:cs="Times New Roman"/>
          <w:color w:val="0D0D14"/>
          <w:lang w:bidi="he-IL"/>
        </w:rPr>
        <w:t>, 4th ed. (New York: Oxford University Press, 2005), 59–61.</w:t>
      </w:r>
    </w:p>
  </w:footnote>
  <w:footnote w:id="21">
    <w:p w14:paraId="43AF16D4" w14:textId="77777777" w:rsidR="00E841DD" w:rsidRPr="001E0AFE" w:rsidRDefault="00E841DD">
      <w:pPr>
        <w:pStyle w:val="FootnoteText"/>
        <w:rPr>
          <w:rFonts w:ascii="Times New Roman" w:hAnsi="Times New Roman" w:cs="Times New Roman"/>
          <w:lang w:eastAsia="zh-TW"/>
        </w:rPr>
      </w:pPr>
    </w:p>
    <w:p w14:paraId="6F4E7913" w14:textId="6B56AAE9"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Silva, </w:t>
      </w:r>
      <w:r w:rsidRPr="001E0AFE">
        <w:rPr>
          <w:rStyle w:val="Emphasis"/>
          <w:rFonts w:ascii="Times New Roman" w:hAnsi="Times New Roman" w:cs="Times New Roman"/>
        </w:rPr>
        <w:t>Philippians</w:t>
      </w:r>
      <w:r w:rsidRPr="001E0AFE">
        <w:rPr>
          <w:rFonts w:ascii="Times New Roman" w:hAnsi="Times New Roman" w:cs="Times New Roman"/>
        </w:rPr>
        <w:t>, 116.</w:t>
      </w:r>
    </w:p>
  </w:footnote>
  <w:footnote w:id="22">
    <w:p w14:paraId="5AD88A09" w14:textId="03ECDF6B" w:rsidR="00E841DD" w:rsidRPr="001E0AFE" w:rsidRDefault="00E841DD" w:rsidP="00D650E7">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Peter R. Rodgers, “A Textual Commentary on Philippians 2:5–11,” in </w:t>
      </w:r>
      <w:r w:rsidRPr="001E0AFE">
        <w:rPr>
          <w:rFonts w:ascii="Times New Roman" w:hAnsi="Times New Roman" w:cs="Times New Roman"/>
          <w:i/>
          <w:iCs/>
          <w:color w:val="0D0D14"/>
          <w:lang w:bidi="he-IL"/>
        </w:rPr>
        <w:t>Text and Community: Essays in Memory of Bruce M. Metzger</w:t>
      </w:r>
      <w:r w:rsidRPr="001E0AFE">
        <w:rPr>
          <w:rFonts w:ascii="Times New Roman" w:hAnsi="Times New Roman" w:cs="Times New Roman"/>
          <w:color w:val="0D0D14"/>
          <w:lang w:bidi="he-IL"/>
        </w:rPr>
        <w:t>, ed. J. Harold Ellens (Sheffield: Sheffield Phoenix Press, 2007), 187–95</w:t>
      </w:r>
      <w:r w:rsidR="00AF414D" w:rsidRPr="001E0AFE">
        <w:rPr>
          <w:rFonts w:ascii="Times New Roman" w:hAnsi="Times New Roman" w:cs="Times New Roman"/>
          <w:color w:val="0D0D14"/>
          <w:lang w:bidi="he-IL"/>
        </w:rPr>
        <w:t>.</w:t>
      </w:r>
    </w:p>
  </w:footnote>
  <w:footnote w:id="23">
    <w:p w14:paraId="26532DAE" w14:textId="77777777" w:rsidR="00E841DD" w:rsidRPr="001E0AFE" w:rsidRDefault="00E841DD">
      <w:pPr>
        <w:pStyle w:val="FootnoteText"/>
        <w:rPr>
          <w:rFonts w:ascii="Times New Roman" w:hAnsi="Times New Roman" w:cs="Times New Roman"/>
          <w:lang w:eastAsia="zh-TW"/>
        </w:rPr>
      </w:pPr>
    </w:p>
    <w:p w14:paraId="020EDBF5" w14:textId="2EE3604F"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xml:space="preserve">, </w:t>
      </w:r>
      <w:r w:rsidRPr="001E0AFE">
        <w:rPr>
          <w:rFonts w:ascii="Times New Roman" w:hAnsi="Times New Roman" w:cs="Times New Roman"/>
          <w:color w:val="0D0D14"/>
          <w:lang w:eastAsia="zh-TW" w:bidi="he-IL"/>
        </w:rPr>
        <w:t>123</w:t>
      </w:r>
      <w:r w:rsidRPr="001E0AFE">
        <w:rPr>
          <w:rFonts w:ascii="Times New Roman" w:hAnsi="Times New Roman" w:cs="Times New Roman"/>
          <w:color w:val="0D0D14"/>
          <w:lang w:bidi="he-IL"/>
        </w:rPr>
        <w:t>.</w:t>
      </w:r>
    </w:p>
  </w:footnote>
  <w:footnote w:id="24">
    <w:p w14:paraId="51C2AC3F" w14:textId="40C7630C"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Fee, </w:t>
      </w:r>
      <w:r w:rsidRPr="001E0AFE">
        <w:rPr>
          <w:rStyle w:val="Emphasis"/>
          <w:rFonts w:ascii="Times New Roman" w:hAnsi="Times New Roman" w:cs="Times New Roman"/>
        </w:rPr>
        <w:t>Paul’s Letter to the Philippians</w:t>
      </w:r>
      <w:r w:rsidRPr="001E0AFE">
        <w:rPr>
          <w:rFonts w:ascii="Times New Roman" w:hAnsi="Times New Roman" w:cs="Times New Roman"/>
        </w:rPr>
        <w:t>, 54.</w:t>
      </w:r>
    </w:p>
  </w:footnote>
  <w:footnote w:id="25">
    <w:p w14:paraId="23A22A5F" w14:textId="09D6B996" w:rsidR="00E841DD" w:rsidRPr="001E0AFE" w:rsidRDefault="00E841DD" w:rsidP="00E841DD">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00841FE5" w:rsidRPr="001E0AFE">
        <w:rPr>
          <w:rFonts w:ascii="Times New Roman" w:hAnsi="Times New Roman" w:cs="Times New Roman"/>
          <w:lang w:eastAsia="zh-TW"/>
        </w:rPr>
        <w:t xml:space="preserve"> </w:t>
      </w:r>
      <w:r w:rsidR="00841FE5" w:rsidRPr="001E0AFE">
        <w:rPr>
          <w:rFonts w:ascii="Times New Roman" w:hAnsi="Times New Roman" w:cs="Times New Roman"/>
          <w:color w:val="0D0D14"/>
          <w:lang w:bidi="he-IL"/>
        </w:rPr>
        <w:t>Daniel B. Wallace, Greek Grammar Beyond the Basics: An Exegetical Syntax of the New Testament (Grand Rapids: Zondervan, 1996), 634.</w:t>
      </w:r>
      <w:r w:rsidRPr="001E0AFE">
        <w:rPr>
          <w:rFonts w:ascii="Times New Roman" w:hAnsi="Times New Roman" w:cs="Times New Roman"/>
        </w:rPr>
        <w:t xml:space="preserve"> </w:t>
      </w:r>
    </w:p>
  </w:footnote>
  <w:footnote w:id="26">
    <w:p w14:paraId="1657224B" w14:textId="30151C75" w:rsidR="00841FE5" w:rsidRPr="001E0AFE" w:rsidRDefault="00841FE5" w:rsidP="00841FE5">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Silva, </w:t>
      </w:r>
      <w:r w:rsidRPr="001E0AFE">
        <w:rPr>
          <w:rStyle w:val="Emphasis"/>
          <w:rFonts w:ascii="Times New Roman" w:hAnsi="Times New Roman" w:cs="Times New Roman"/>
        </w:rPr>
        <w:t>Philippians</w:t>
      </w:r>
      <w:r w:rsidRPr="001E0AFE">
        <w:rPr>
          <w:rFonts w:ascii="Times New Roman" w:hAnsi="Times New Roman" w:cs="Times New Roman"/>
        </w:rPr>
        <w:t>, 11</w:t>
      </w:r>
      <w:r w:rsidRPr="001E0AFE">
        <w:rPr>
          <w:rFonts w:ascii="Times New Roman" w:hAnsi="Times New Roman" w:cs="Times New Roman"/>
          <w:lang w:eastAsia="zh-TW"/>
        </w:rPr>
        <w:t>5</w:t>
      </w:r>
      <w:r w:rsidRPr="001E0AFE">
        <w:rPr>
          <w:rFonts w:ascii="Times New Roman" w:hAnsi="Times New Roman" w:cs="Times New Roman"/>
        </w:rPr>
        <w:t>.</w:t>
      </w:r>
    </w:p>
    <w:p w14:paraId="32D98518" w14:textId="27CB4FBE" w:rsidR="00841FE5" w:rsidRPr="001E0AFE" w:rsidRDefault="00841FE5" w:rsidP="00841FE5">
      <w:pPr>
        <w:pStyle w:val="FootnoteText"/>
        <w:ind w:firstLine="720"/>
        <w:rPr>
          <w:rFonts w:ascii="Times New Roman" w:hAnsi="Times New Roman" w:cs="Times New Roman"/>
          <w:lang w:eastAsia="zh-TW"/>
        </w:rPr>
      </w:pPr>
    </w:p>
  </w:footnote>
  <w:footnote w:id="27">
    <w:p w14:paraId="7C46A76D" w14:textId="4F2C4E91" w:rsidR="00841FE5" w:rsidRPr="001E0AFE" w:rsidRDefault="00841FE5" w:rsidP="00841FE5">
      <w:pPr>
        <w:pStyle w:val="FootnoteText"/>
        <w:ind w:firstLine="720"/>
        <w:rPr>
          <w:rFonts w:ascii="Times New Roman" w:hAnsi="Times New Roman" w:cs="Times New Roman"/>
          <w:lang w:eastAsia="zh-TW"/>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Barbara Aland et al., eds., </w:t>
      </w:r>
      <w:r w:rsidRPr="001E0AFE">
        <w:rPr>
          <w:rFonts w:ascii="Times New Roman" w:hAnsi="Times New Roman" w:cs="Times New Roman"/>
          <w:i/>
          <w:iCs/>
          <w:color w:val="0D0D14"/>
          <w:lang w:bidi="he-IL"/>
        </w:rPr>
        <w:t>The Greek New Testament: Apparatus</w:t>
      </w:r>
      <w:r w:rsidRPr="001E0AFE">
        <w:rPr>
          <w:rFonts w:ascii="Times New Roman" w:hAnsi="Times New Roman" w:cs="Times New Roman"/>
          <w:color w:val="0D0D14"/>
          <w:lang w:bidi="he-IL"/>
        </w:rPr>
        <w:t>, 5th rev. ed. (Stuttgart: Deutsche Bibelgesellschaft; New York: American Bible Society, United Bible Societies, 2014), 654.</w:t>
      </w:r>
    </w:p>
  </w:footnote>
  <w:footnote w:id="28">
    <w:p w14:paraId="0E9C6BAF" w14:textId="77777777" w:rsidR="009305F5" w:rsidRPr="001E0AFE" w:rsidRDefault="009305F5" w:rsidP="009305F5">
      <w:pPr>
        <w:pStyle w:val="FootnoteText"/>
        <w:ind w:firstLine="720"/>
        <w:rPr>
          <w:rFonts w:ascii="Times New Roman" w:hAnsi="Times New Roman" w:cs="Times New Roman"/>
        </w:rPr>
      </w:pPr>
    </w:p>
    <w:p w14:paraId="0BCBB727" w14:textId="1BFBE17B"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Otto Schmitz, “Παρακαλέω, Παράκλησις,” in </w:t>
      </w:r>
      <w:r w:rsidRPr="001E0AFE">
        <w:rPr>
          <w:rFonts w:ascii="Times New Roman" w:hAnsi="Times New Roman" w:cs="Times New Roman"/>
          <w:i/>
          <w:iCs/>
          <w:color w:val="0D0D14"/>
          <w:lang w:bidi="he-IL"/>
        </w:rPr>
        <w:t>Theological Dictionary of the New Testament</w:t>
      </w:r>
      <w:r w:rsidRPr="001E0AFE">
        <w:rPr>
          <w:rFonts w:ascii="Times New Roman" w:hAnsi="Times New Roman" w:cs="Times New Roman"/>
          <w:color w:val="0D0D14"/>
          <w:lang w:bidi="he-IL"/>
        </w:rPr>
        <w:t>, ed. Gerhard Kittel, Geoffrey W. Bromiley, and Gerhard Friedrich (Grand Rapids, MI: Eerdmans, 1964–1976), 5:774.</w:t>
      </w:r>
    </w:p>
  </w:footnote>
  <w:footnote w:id="29">
    <w:p w14:paraId="4D93ADD0" w14:textId="77777777" w:rsidR="009305F5" w:rsidRPr="001E0AFE" w:rsidRDefault="009305F5">
      <w:pPr>
        <w:pStyle w:val="FootnoteText"/>
        <w:rPr>
          <w:rFonts w:ascii="Times New Roman" w:hAnsi="Times New Roman" w:cs="Times New Roman"/>
        </w:rPr>
      </w:pPr>
    </w:p>
    <w:p w14:paraId="357755DD" w14:textId="6B6742C3"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Henry George Liddell, Robert Scott, Henry Stuart Jones, and Roderick McKenzie, </w:t>
      </w:r>
      <w:r w:rsidRPr="001E0AFE">
        <w:rPr>
          <w:rFonts w:ascii="Times New Roman" w:hAnsi="Times New Roman" w:cs="Times New Roman"/>
          <w:i/>
          <w:iCs/>
          <w:color w:val="0D0D14"/>
          <w:lang w:bidi="he-IL"/>
        </w:rPr>
        <w:t>A Greek–English Lexicon</w:t>
      </w:r>
      <w:r w:rsidRPr="001E0AFE">
        <w:rPr>
          <w:rFonts w:ascii="Times New Roman" w:hAnsi="Times New Roman" w:cs="Times New Roman"/>
          <w:color w:val="0D0D14"/>
          <w:lang w:bidi="he-IL"/>
        </w:rPr>
        <w:t>, rev. and aug. (Oxford: Clarendon Press, 1996), 1313.</w:t>
      </w:r>
    </w:p>
  </w:footnote>
  <w:footnote w:id="30">
    <w:p w14:paraId="473983FB" w14:textId="138E279F"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Liddell et al., </w:t>
      </w:r>
      <w:r w:rsidRPr="001E0AFE">
        <w:rPr>
          <w:rStyle w:val="Emphasis"/>
          <w:rFonts w:ascii="Times New Roman" w:hAnsi="Times New Roman" w:cs="Times New Roman"/>
        </w:rPr>
        <w:t>A Greek–English Lexicon</w:t>
      </w:r>
      <w:r w:rsidRPr="001E0AFE">
        <w:rPr>
          <w:rFonts w:ascii="Times New Roman" w:hAnsi="Times New Roman" w:cs="Times New Roman"/>
        </w:rPr>
        <w:t xml:space="preserve">, 1313. </w:t>
      </w:r>
    </w:p>
  </w:footnote>
  <w:footnote w:id="31">
    <w:p w14:paraId="158467C8" w14:textId="77777777" w:rsidR="00D650E7" w:rsidRDefault="00D650E7" w:rsidP="00AF414D">
      <w:pPr>
        <w:pStyle w:val="FootnoteText"/>
        <w:ind w:firstLine="720"/>
        <w:rPr>
          <w:rFonts w:ascii="Times New Roman" w:hAnsi="Times New Roman" w:cs="Times New Roman"/>
        </w:rPr>
      </w:pPr>
    </w:p>
    <w:p w14:paraId="1D107F32" w14:textId="2AC9A9D0" w:rsidR="009305F5" w:rsidRPr="001E0AFE" w:rsidRDefault="009305F5" w:rsidP="00AF414D">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Johan Lust, Erik Eynikel, and Katrin Hauspie, </w:t>
      </w:r>
      <w:r w:rsidRPr="001E0AFE">
        <w:rPr>
          <w:rFonts w:ascii="Times New Roman" w:hAnsi="Times New Roman" w:cs="Times New Roman"/>
          <w:i/>
          <w:iCs/>
          <w:color w:val="0D0D14"/>
          <w:lang w:bidi="he-IL"/>
        </w:rPr>
        <w:t>A Greek–English Lexicon of the Septuagint: Revised Edition</w:t>
      </w:r>
      <w:r w:rsidRPr="001E0AFE">
        <w:rPr>
          <w:rFonts w:ascii="Times New Roman" w:hAnsi="Times New Roman" w:cs="Times New Roman"/>
          <w:color w:val="0D0D14"/>
          <w:lang w:bidi="he-IL"/>
        </w:rPr>
        <w:t xml:space="preserve"> (Stuttgart: Deutsche Bibelgesellschaft, 2003), s.v. “παράκλησις.”</w:t>
      </w:r>
    </w:p>
  </w:footnote>
  <w:footnote w:id="32">
    <w:p w14:paraId="6390DA24" w14:textId="77777777" w:rsidR="009305F5" w:rsidRPr="001E0AFE" w:rsidRDefault="009305F5">
      <w:pPr>
        <w:pStyle w:val="FootnoteText"/>
        <w:rPr>
          <w:rFonts w:ascii="Times New Roman" w:hAnsi="Times New Roman" w:cs="Times New Roman"/>
        </w:rPr>
      </w:pPr>
    </w:p>
    <w:p w14:paraId="5877DE84" w14:textId="42C7FF49"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Otto Schmitz, “Παρακαλέω, Παράκλησις,” in </w:t>
      </w:r>
      <w:r w:rsidRPr="001E0AFE">
        <w:rPr>
          <w:rFonts w:ascii="Times New Roman" w:hAnsi="Times New Roman" w:cs="Times New Roman"/>
          <w:i/>
          <w:iCs/>
          <w:color w:val="0D0D14"/>
          <w:lang w:bidi="he-IL"/>
        </w:rPr>
        <w:t>Theological Dictionary of the New Testament</w:t>
      </w:r>
      <w:r w:rsidRPr="001E0AFE">
        <w:rPr>
          <w:rFonts w:ascii="Times New Roman" w:hAnsi="Times New Roman" w:cs="Times New Roman"/>
          <w:color w:val="0D0D14"/>
          <w:lang w:bidi="he-IL"/>
        </w:rPr>
        <w:t>, 5:774.</w:t>
      </w:r>
    </w:p>
  </w:footnote>
  <w:footnote w:id="33">
    <w:p w14:paraId="7F3DF327" w14:textId="77777777" w:rsidR="009305F5" w:rsidRPr="001E0AFE" w:rsidRDefault="009305F5">
      <w:pPr>
        <w:pStyle w:val="FootnoteText"/>
        <w:rPr>
          <w:rFonts w:ascii="Times New Roman" w:hAnsi="Times New Roman" w:cs="Times New Roman"/>
        </w:rPr>
      </w:pPr>
    </w:p>
    <w:p w14:paraId="0A643A07" w14:textId="3175CA42"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775.</w:t>
      </w:r>
    </w:p>
  </w:footnote>
  <w:footnote w:id="34">
    <w:p w14:paraId="311CD781" w14:textId="77777777" w:rsidR="009305F5" w:rsidRPr="001E0AFE" w:rsidRDefault="009305F5">
      <w:pPr>
        <w:pStyle w:val="FootnoteText"/>
        <w:rPr>
          <w:rFonts w:ascii="Times New Roman" w:hAnsi="Times New Roman" w:cs="Times New Roman"/>
        </w:rPr>
      </w:pPr>
    </w:p>
    <w:p w14:paraId="3701C1D0" w14:textId="04749133"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 776. </w:t>
      </w:r>
    </w:p>
  </w:footnote>
  <w:footnote w:id="35">
    <w:p w14:paraId="02126A8B" w14:textId="77777777" w:rsidR="009305F5" w:rsidRPr="001E0AFE" w:rsidRDefault="009305F5">
      <w:pPr>
        <w:pStyle w:val="FootnoteText"/>
        <w:rPr>
          <w:rFonts w:ascii="Times New Roman" w:hAnsi="Times New Roman" w:cs="Times New Roman"/>
        </w:rPr>
      </w:pPr>
    </w:p>
    <w:p w14:paraId="5E9C2535" w14:textId="0DB21C18"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William Arndt, Frederick W. Danker, and Walter Bauer, </w:t>
      </w:r>
      <w:r w:rsidRPr="001E0AFE">
        <w:rPr>
          <w:rFonts w:ascii="Times New Roman" w:hAnsi="Times New Roman" w:cs="Times New Roman"/>
          <w:i/>
          <w:iCs/>
          <w:color w:val="0D0D14"/>
          <w:lang w:bidi="he-IL"/>
        </w:rPr>
        <w:t>A Greek–English Lexicon of the New Testament and Other Early Christian Literature</w:t>
      </w:r>
      <w:r w:rsidRPr="001E0AFE">
        <w:rPr>
          <w:rFonts w:ascii="Times New Roman" w:hAnsi="Times New Roman" w:cs="Times New Roman"/>
          <w:color w:val="0D0D14"/>
          <w:lang w:bidi="he-IL"/>
        </w:rPr>
        <w:t>, 3rd ed. (Chicago: University of Chicago Press, 2000), s.v. “παράκλησις.”</w:t>
      </w:r>
    </w:p>
  </w:footnote>
  <w:footnote w:id="36">
    <w:p w14:paraId="61AFD7E1" w14:textId="77777777" w:rsidR="00B87C8D" w:rsidRPr="001E0AFE" w:rsidRDefault="00B87C8D" w:rsidP="009305F5">
      <w:pPr>
        <w:pStyle w:val="FootnoteText"/>
        <w:ind w:firstLine="720"/>
        <w:rPr>
          <w:rFonts w:ascii="Times New Roman" w:hAnsi="Times New Roman" w:cs="Times New Roman"/>
        </w:rPr>
      </w:pPr>
    </w:p>
    <w:p w14:paraId="30FF12A0" w14:textId="6BDB9353" w:rsidR="009305F5" w:rsidRPr="001E0AFE" w:rsidRDefault="009305F5" w:rsidP="009305F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AB6FE5" w:rsidRPr="001E0AFE">
        <w:rPr>
          <w:rFonts w:ascii="Times New Roman" w:hAnsi="Times New Roman" w:cs="Times New Roman"/>
          <w:color w:val="0D0D14"/>
          <w:lang w:bidi="he-IL"/>
        </w:rPr>
        <w:t>Schmitz, “Παρακαλέω, Παράκλησις,” 5:799.</w:t>
      </w:r>
    </w:p>
  </w:footnote>
  <w:footnote w:id="37">
    <w:p w14:paraId="00BD72B3" w14:textId="77777777" w:rsidR="00AB6FE5" w:rsidRPr="001E0AFE" w:rsidRDefault="00AB6FE5">
      <w:pPr>
        <w:pStyle w:val="FootnoteText"/>
        <w:rPr>
          <w:rFonts w:ascii="Times New Roman" w:hAnsi="Times New Roman" w:cs="Times New Roman"/>
        </w:rPr>
      </w:pPr>
    </w:p>
    <w:p w14:paraId="391F9B9A" w14:textId="660EEC7D"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Arndt, Danker, and Bauer, </w:t>
      </w:r>
      <w:r w:rsidRPr="001E0AFE">
        <w:rPr>
          <w:rFonts w:ascii="Times New Roman" w:hAnsi="Times New Roman" w:cs="Times New Roman"/>
          <w:i/>
          <w:iCs/>
          <w:color w:val="0D0D14"/>
          <w:lang w:bidi="he-IL"/>
        </w:rPr>
        <w:t>A Greek–English Lexicon of the New Testament and Other Early Christian Literature</w:t>
      </w:r>
      <w:r w:rsidRPr="001E0AFE">
        <w:rPr>
          <w:rFonts w:ascii="Times New Roman" w:hAnsi="Times New Roman" w:cs="Times New Roman"/>
          <w:color w:val="0D0D14"/>
          <w:lang w:bidi="he-IL"/>
        </w:rPr>
        <w:t>, s.v. “παράκλησις.”</w:t>
      </w:r>
    </w:p>
  </w:footnote>
  <w:footnote w:id="38">
    <w:p w14:paraId="708FF9B9" w14:textId="77777777" w:rsidR="00AB6FE5" w:rsidRPr="001E0AFE" w:rsidRDefault="00AB6FE5">
      <w:pPr>
        <w:pStyle w:val="FootnoteText"/>
        <w:rPr>
          <w:rFonts w:ascii="Times New Roman" w:hAnsi="Times New Roman" w:cs="Times New Roman"/>
        </w:rPr>
      </w:pPr>
    </w:p>
    <w:p w14:paraId="517264B3" w14:textId="5EAE9EB8"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J</w:t>
      </w:r>
      <w:r w:rsidRPr="001E0AFE">
        <w:rPr>
          <w:rFonts w:ascii="Times New Roman" w:hAnsi="Times New Roman" w:cs="Times New Roman"/>
          <w:color w:val="0D0D14"/>
          <w:lang w:bidi="he-IL"/>
        </w:rPr>
        <w:t xml:space="preserve">ohannes P. Louw and Eugene A. Nida, </w:t>
      </w:r>
      <w:r w:rsidRPr="001E0AFE">
        <w:rPr>
          <w:rFonts w:ascii="Times New Roman" w:hAnsi="Times New Roman" w:cs="Times New Roman"/>
          <w:i/>
          <w:iCs/>
          <w:color w:val="0D0D14"/>
          <w:lang w:bidi="he-IL"/>
        </w:rPr>
        <w:t>Greek–English Lexicon of the New Testament Based on Semantic Domains</w:t>
      </w:r>
      <w:r w:rsidRPr="001E0AFE">
        <w:rPr>
          <w:rFonts w:ascii="Times New Roman" w:hAnsi="Times New Roman" w:cs="Times New Roman"/>
          <w:color w:val="0D0D14"/>
          <w:lang w:bidi="he-IL"/>
        </w:rPr>
        <w:t>, 2nd ed. (New York: United Bible Societies, 1989), 25.150–25.155.</w:t>
      </w:r>
    </w:p>
  </w:footnote>
  <w:footnote w:id="39">
    <w:p w14:paraId="2FB6B747" w14:textId="77777777" w:rsidR="00AB6FE5" w:rsidRPr="001E0AFE" w:rsidRDefault="00AB6FE5">
      <w:pPr>
        <w:pStyle w:val="FootnoteText"/>
        <w:rPr>
          <w:rFonts w:ascii="Times New Roman" w:hAnsi="Times New Roman" w:cs="Times New Roman"/>
        </w:rPr>
      </w:pPr>
    </w:p>
    <w:p w14:paraId="76B73527" w14:textId="075AEC69" w:rsidR="00AB6FE5" w:rsidRDefault="00AB6FE5" w:rsidP="00AB6FE5">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Otto Schmitz, “Παρακαλέω, Παράκλησις,” 5:719.</w:t>
      </w:r>
    </w:p>
    <w:p w14:paraId="4581345D" w14:textId="77777777" w:rsidR="00D650E7" w:rsidRPr="001E0AFE" w:rsidRDefault="00D650E7" w:rsidP="00AB6FE5">
      <w:pPr>
        <w:pStyle w:val="FootnoteText"/>
        <w:ind w:firstLine="720"/>
        <w:rPr>
          <w:rFonts w:ascii="Times New Roman" w:hAnsi="Times New Roman" w:cs="Times New Roman"/>
        </w:rPr>
      </w:pPr>
    </w:p>
  </w:footnote>
  <w:footnote w:id="40">
    <w:p w14:paraId="70C6F4CF" w14:textId="65F761AD"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Frederick William Danker, ed., </w:t>
      </w:r>
      <w:r w:rsidRPr="001E0AFE">
        <w:rPr>
          <w:rFonts w:ascii="Times New Roman" w:hAnsi="Times New Roman" w:cs="Times New Roman"/>
          <w:i/>
          <w:iCs/>
          <w:color w:val="0D0D14"/>
          <w:lang w:bidi="he-IL"/>
        </w:rPr>
        <w:t>A Greek-English Lexicon of the New Testament and Other Early Christian Literature</w:t>
      </w:r>
      <w:r w:rsidRPr="001E0AFE">
        <w:rPr>
          <w:rFonts w:ascii="Times New Roman" w:hAnsi="Times New Roman" w:cs="Times New Roman"/>
          <w:color w:val="0D0D14"/>
          <w:lang w:bidi="he-IL"/>
        </w:rPr>
        <w:t>, 3rd ed. (Chicago: University of Chicago Press, 2000), s.v. “σπλάγχνον.”</w:t>
      </w:r>
    </w:p>
  </w:footnote>
  <w:footnote w:id="41">
    <w:p w14:paraId="03E14AE7" w14:textId="77777777" w:rsidR="00AB6FE5" w:rsidRPr="001E0AFE" w:rsidRDefault="00AB6FE5">
      <w:pPr>
        <w:pStyle w:val="FootnoteText"/>
        <w:rPr>
          <w:rFonts w:ascii="Times New Roman" w:hAnsi="Times New Roman" w:cs="Times New Roman"/>
        </w:rPr>
      </w:pPr>
    </w:p>
    <w:p w14:paraId="33BD2A9F" w14:textId="389EC0C0"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Johannes Schneider, “σπλάγχνον, σπλαγχνίζομαι,” in </w:t>
      </w:r>
      <w:r w:rsidRPr="001E0AFE">
        <w:rPr>
          <w:rFonts w:ascii="Times New Roman" w:hAnsi="Times New Roman" w:cs="Times New Roman"/>
          <w:i/>
          <w:iCs/>
          <w:color w:val="0D0D14"/>
          <w:lang w:bidi="he-IL"/>
        </w:rPr>
        <w:t>Theological Dictionary of the New Testament</w:t>
      </w:r>
      <w:r w:rsidRPr="001E0AFE">
        <w:rPr>
          <w:rFonts w:ascii="Times New Roman" w:hAnsi="Times New Roman" w:cs="Times New Roman"/>
          <w:color w:val="0D0D14"/>
          <w:lang w:bidi="he-IL"/>
        </w:rPr>
        <w:t>, ed. Gerhard Kittel, Geoffrey W. Bromiley, and Gerhard Friedrich (Grand Rapids, MI: Eerdmans, 1964–1976), 7:548.</w:t>
      </w:r>
    </w:p>
  </w:footnote>
  <w:footnote w:id="42">
    <w:p w14:paraId="4E1ADFE4" w14:textId="77777777" w:rsidR="00AB6FE5" w:rsidRPr="001E0AFE" w:rsidRDefault="00AB6FE5">
      <w:pPr>
        <w:pStyle w:val="FootnoteText"/>
        <w:rPr>
          <w:rFonts w:ascii="Times New Roman" w:hAnsi="Times New Roman" w:cs="Times New Roman"/>
        </w:rPr>
      </w:pPr>
    </w:p>
    <w:p w14:paraId="45E075EC" w14:textId="4E5E972D"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7:549.</w:t>
      </w:r>
    </w:p>
  </w:footnote>
  <w:footnote w:id="43">
    <w:p w14:paraId="043E0D34" w14:textId="77777777" w:rsidR="00AB6FE5" w:rsidRPr="001E0AFE" w:rsidRDefault="00AB6FE5">
      <w:pPr>
        <w:pStyle w:val="FootnoteText"/>
        <w:rPr>
          <w:rFonts w:ascii="Times New Roman" w:hAnsi="Times New Roman" w:cs="Times New Roman"/>
        </w:rPr>
      </w:pPr>
    </w:p>
    <w:p w14:paraId="1B12A69A" w14:textId="355479B3"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 </w:t>
      </w:r>
    </w:p>
  </w:footnote>
  <w:footnote w:id="44">
    <w:p w14:paraId="2093CCE5" w14:textId="77777777" w:rsidR="00AB6FE5" w:rsidRPr="001E0AFE" w:rsidRDefault="00AB6FE5">
      <w:pPr>
        <w:pStyle w:val="FootnoteText"/>
        <w:rPr>
          <w:rFonts w:ascii="Times New Roman" w:hAnsi="Times New Roman" w:cs="Times New Roman"/>
        </w:rPr>
      </w:pPr>
    </w:p>
    <w:p w14:paraId="74F02E48" w14:textId="0DA54F42"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7:608–9.</w:t>
      </w:r>
    </w:p>
  </w:footnote>
  <w:footnote w:id="45">
    <w:p w14:paraId="230DD9B2" w14:textId="01D4E2BD" w:rsidR="00AB6FE5" w:rsidRPr="001E0AFE"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Lust, Eynikel, and Hauspie, </w:t>
      </w:r>
      <w:r w:rsidRPr="001E0AFE">
        <w:rPr>
          <w:rStyle w:val="Emphasis"/>
          <w:rFonts w:ascii="Times New Roman" w:hAnsi="Times New Roman" w:cs="Times New Roman"/>
        </w:rPr>
        <w:t>Greek–English Lexicon of the Septuagint</w:t>
      </w:r>
      <w:r w:rsidRPr="001E0AFE">
        <w:rPr>
          <w:rFonts w:ascii="Times New Roman" w:hAnsi="Times New Roman" w:cs="Times New Roman"/>
        </w:rPr>
        <w:t>, s.v. “σπλάγχνον.”</w:t>
      </w:r>
    </w:p>
  </w:footnote>
  <w:footnote w:id="46">
    <w:p w14:paraId="5173E7B8" w14:textId="77777777" w:rsidR="00AB6FE5" w:rsidRPr="001E0AFE" w:rsidRDefault="00AB6FE5">
      <w:pPr>
        <w:pStyle w:val="FootnoteText"/>
        <w:rPr>
          <w:rFonts w:ascii="Times New Roman" w:hAnsi="Times New Roman" w:cs="Times New Roman"/>
        </w:rPr>
      </w:pPr>
    </w:p>
    <w:p w14:paraId="521AC694" w14:textId="3FDC00DD" w:rsidR="00AB6FE5" w:rsidRDefault="00AB6FE5" w:rsidP="00AB6FE5">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p w14:paraId="300CFEFA" w14:textId="77777777" w:rsidR="00D650E7" w:rsidRPr="001E0AFE" w:rsidRDefault="00D650E7" w:rsidP="00AB6FE5">
      <w:pPr>
        <w:pStyle w:val="FootnoteText"/>
        <w:ind w:firstLine="720"/>
        <w:rPr>
          <w:rFonts w:ascii="Times New Roman" w:hAnsi="Times New Roman" w:cs="Times New Roman"/>
        </w:rPr>
      </w:pPr>
    </w:p>
  </w:footnote>
  <w:footnote w:id="47">
    <w:p w14:paraId="05E80E05" w14:textId="7D9E9C93" w:rsidR="00D0725F" w:rsidRPr="001E0AFE" w:rsidRDefault="00AB6FE5" w:rsidP="00D650E7">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00D0725F" w:rsidRPr="001E0AFE">
        <w:rPr>
          <w:rFonts w:ascii="Times New Roman" w:hAnsi="Times New Roman" w:cs="Times New Roman"/>
        </w:rPr>
        <w:t xml:space="preserve"> Lust, Eynikel, and Hauspie, </w:t>
      </w:r>
      <w:r w:rsidR="00D0725F" w:rsidRPr="001E0AFE">
        <w:rPr>
          <w:rStyle w:val="Emphasis"/>
          <w:rFonts w:ascii="Times New Roman" w:hAnsi="Times New Roman" w:cs="Times New Roman"/>
        </w:rPr>
        <w:t>Greek–English Lexicon of the Septuagint</w:t>
      </w:r>
      <w:r w:rsidR="00D0725F" w:rsidRPr="001E0AFE">
        <w:rPr>
          <w:rFonts w:ascii="Times New Roman" w:hAnsi="Times New Roman" w:cs="Times New Roman"/>
        </w:rPr>
        <w:t xml:space="preserve">, s.v. “σπλάγχνον.” </w:t>
      </w:r>
    </w:p>
    <w:p w14:paraId="391050A8" w14:textId="326E8133" w:rsidR="00AB6FE5" w:rsidRPr="001E0AFE" w:rsidRDefault="00AB6FE5" w:rsidP="00D0725F">
      <w:pPr>
        <w:pStyle w:val="FootnoteText"/>
        <w:ind w:firstLine="720"/>
        <w:rPr>
          <w:rFonts w:ascii="Times New Roman" w:hAnsi="Times New Roman" w:cs="Times New Roman"/>
        </w:rPr>
      </w:pPr>
    </w:p>
  </w:footnote>
  <w:footnote w:id="48">
    <w:p w14:paraId="74C20D6F" w14:textId="5034982C" w:rsidR="00D0725F" w:rsidRPr="001E0AFE" w:rsidRDefault="00D0725F" w:rsidP="00D072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Danker, </w:t>
      </w:r>
      <w:r w:rsidRPr="001E0AFE">
        <w:rPr>
          <w:rFonts w:ascii="Times New Roman" w:hAnsi="Times New Roman" w:cs="Times New Roman"/>
          <w:i/>
          <w:iCs/>
          <w:color w:val="0D0D14"/>
          <w:lang w:bidi="he-IL"/>
        </w:rPr>
        <w:t>A Greek-English Lexicon of the New Testament and Other Early Christian Literature</w:t>
      </w:r>
      <w:r w:rsidRPr="001E0AFE">
        <w:rPr>
          <w:rFonts w:ascii="Times New Roman" w:hAnsi="Times New Roman" w:cs="Times New Roman"/>
          <w:color w:val="0D0D14"/>
          <w:lang w:bidi="he-IL"/>
        </w:rPr>
        <w:t>, s.v. “σπλάγχνον.”</w:t>
      </w:r>
    </w:p>
  </w:footnote>
  <w:footnote w:id="49">
    <w:p w14:paraId="6D589C03" w14:textId="77777777" w:rsidR="00D0725F" w:rsidRPr="001E0AFE" w:rsidRDefault="00D0725F">
      <w:pPr>
        <w:pStyle w:val="FootnoteText"/>
        <w:rPr>
          <w:rFonts w:ascii="Times New Roman" w:hAnsi="Times New Roman" w:cs="Times New Roman"/>
        </w:rPr>
      </w:pPr>
    </w:p>
    <w:p w14:paraId="3EA0B5E7" w14:textId="01526293" w:rsidR="00D0725F" w:rsidRPr="001E0AFE" w:rsidRDefault="00D0725F" w:rsidP="00D072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Schneider, “σπλάγχνον, σπλαγχνίζομαι,” 7:551.</w:t>
      </w:r>
    </w:p>
  </w:footnote>
  <w:footnote w:id="50">
    <w:p w14:paraId="30E3FEEF" w14:textId="77777777" w:rsidR="00D0725F" w:rsidRPr="001E0AFE" w:rsidRDefault="00D0725F">
      <w:pPr>
        <w:pStyle w:val="FootnoteText"/>
        <w:rPr>
          <w:rFonts w:ascii="Times New Roman" w:hAnsi="Times New Roman" w:cs="Times New Roman"/>
        </w:rPr>
      </w:pPr>
    </w:p>
    <w:p w14:paraId="5145CE02" w14:textId="196A9317" w:rsidR="00D0725F" w:rsidRPr="001E0AFE" w:rsidRDefault="00D0725F" w:rsidP="00D072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7:553.</w:t>
      </w:r>
    </w:p>
  </w:footnote>
  <w:footnote w:id="51">
    <w:p w14:paraId="24283968" w14:textId="14DAF79D" w:rsidR="00D0725F" w:rsidRDefault="00D0725F" w:rsidP="007938E3">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Schneider, “σπλάγχνον, σπλαγχνίζομαι,” TDNT 7:554. </w:t>
      </w:r>
    </w:p>
    <w:p w14:paraId="77B089F5" w14:textId="77777777" w:rsidR="00D650E7" w:rsidRPr="001E0AFE" w:rsidRDefault="00D650E7" w:rsidP="00D650E7">
      <w:pPr>
        <w:pStyle w:val="FootnoteText"/>
        <w:ind w:firstLine="720"/>
        <w:rPr>
          <w:rFonts w:ascii="Times New Roman" w:hAnsi="Times New Roman" w:cs="Times New Roman"/>
        </w:rPr>
      </w:pPr>
    </w:p>
  </w:footnote>
  <w:footnote w:id="52">
    <w:p w14:paraId="003B8C51" w14:textId="4AA97AC8" w:rsidR="00D0725F" w:rsidRPr="001E0AFE" w:rsidRDefault="00D0725F" w:rsidP="00D072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7:556.</w:t>
      </w:r>
    </w:p>
  </w:footnote>
  <w:footnote w:id="53">
    <w:p w14:paraId="5E05842D" w14:textId="6D638B16" w:rsidR="00D0725F" w:rsidRPr="001E0AFE" w:rsidRDefault="00D0725F" w:rsidP="00D650E7">
      <w:pPr>
        <w:pStyle w:val="NormalWeb"/>
        <w:ind w:firstLine="720"/>
        <w:rPr>
          <w:b/>
          <w:bCs/>
          <w:sz w:val="20"/>
          <w:szCs w:val="20"/>
        </w:rPr>
      </w:pPr>
      <w:r w:rsidRPr="001E0AFE">
        <w:rPr>
          <w:rStyle w:val="FootnoteReference"/>
          <w:b/>
          <w:bCs/>
          <w:sz w:val="20"/>
          <w:szCs w:val="20"/>
        </w:rPr>
        <w:footnoteRef/>
      </w:r>
      <w:r w:rsidRPr="001E0AFE">
        <w:rPr>
          <w:b/>
          <w:bCs/>
          <w:sz w:val="20"/>
          <w:szCs w:val="20"/>
        </w:rPr>
        <w:t xml:space="preserve"> </w:t>
      </w:r>
      <w:r w:rsidR="00D650E7" w:rsidRPr="001E0AFE">
        <w:rPr>
          <w:rStyle w:val="Strong"/>
          <w:b w:val="0"/>
          <w:bCs w:val="0"/>
          <w:sz w:val="20"/>
          <w:szCs w:val="20"/>
        </w:rPr>
        <w:t xml:space="preserve">Louw and Nida, </w:t>
      </w:r>
      <w:r w:rsidR="00D650E7" w:rsidRPr="001E0AFE">
        <w:rPr>
          <w:rStyle w:val="Emphasis"/>
          <w:b/>
          <w:bCs/>
          <w:sz w:val="20"/>
          <w:szCs w:val="20"/>
        </w:rPr>
        <w:t>Greek–English Lexicon</w:t>
      </w:r>
      <w:r w:rsidR="00D650E7" w:rsidRPr="001E0AFE">
        <w:rPr>
          <w:rStyle w:val="Strong"/>
          <w:b w:val="0"/>
          <w:bCs w:val="0"/>
          <w:sz w:val="20"/>
          <w:szCs w:val="20"/>
        </w:rPr>
        <w:t>, s.v. “φρονέω.”</w:t>
      </w:r>
    </w:p>
  </w:footnote>
  <w:footnote w:id="54">
    <w:p w14:paraId="7DAF1278" w14:textId="2866F49B" w:rsidR="00D0725F" w:rsidRDefault="00D0725F" w:rsidP="00D650E7">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Georg Bertram, “Φρήν, Ἄφρων, Ἀφροσύνη, Φρονέω, Φρόνημα, Φρόνησις, Φρόνιμος,” in </w:t>
      </w:r>
      <w:r w:rsidRPr="001E0AFE">
        <w:rPr>
          <w:rFonts w:ascii="Times New Roman" w:hAnsi="Times New Roman" w:cs="Times New Roman"/>
          <w:i/>
          <w:iCs/>
          <w:color w:val="0D0D14"/>
          <w:lang w:bidi="he-IL"/>
        </w:rPr>
        <w:t>Theological Dictionary of the New Testament</w:t>
      </w:r>
      <w:r w:rsidRPr="001E0AFE">
        <w:rPr>
          <w:rFonts w:ascii="Times New Roman" w:hAnsi="Times New Roman" w:cs="Times New Roman"/>
          <w:color w:val="0D0D14"/>
          <w:lang w:bidi="he-IL"/>
        </w:rPr>
        <w:t>, ed. Gerhard Kittel, Geoffrey W. Bromiley, and Gerhard Friedrich (Grand Rapids, MI: Eerdmans, 1964–1976), 9:233.</w:t>
      </w:r>
    </w:p>
    <w:p w14:paraId="439A7628" w14:textId="77777777" w:rsidR="00D650E7" w:rsidRPr="001E0AFE" w:rsidRDefault="00D650E7" w:rsidP="00D650E7">
      <w:pPr>
        <w:pStyle w:val="FootnoteText"/>
        <w:ind w:firstLine="720"/>
        <w:rPr>
          <w:rFonts w:ascii="Times New Roman" w:hAnsi="Times New Roman" w:cs="Times New Roman"/>
        </w:rPr>
      </w:pPr>
    </w:p>
  </w:footnote>
  <w:footnote w:id="55">
    <w:p w14:paraId="14965B16" w14:textId="6D46CB0D"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 220.</w:t>
      </w:r>
    </w:p>
  </w:footnote>
  <w:footnote w:id="56">
    <w:p w14:paraId="5DA3BC80" w14:textId="77777777" w:rsidR="007E2D9B" w:rsidRPr="001E0AFE" w:rsidRDefault="007E2D9B">
      <w:pPr>
        <w:pStyle w:val="FootnoteText"/>
        <w:rPr>
          <w:rFonts w:ascii="Times New Roman" w:hAnsi="Times New Roman" w:cs="Times New Roman"/>
        </w:rPr>
      </w:pPr>
    </w:p>
    <w:p w14:paraId="621039A4" w14:textId="41567CEE"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57">
    <w:p w14:paraId="00130EB7" w14:textId="77777777" w:rsidR="007E2D9B" w:rsidRPr="001E0AFE" w:rsidRDefault="007E2D9B">
      <w:pPr>
        <w:pStyle w:val="FootnoteText"/>
        <w:rPr>
          <w:rFonts w:ascii="Times New Roman" w:hAnsi="Times New Roman" w:cs="Times New Roman"/>
        </w:rPr>
      </w:pPr>
    </w:p>
    <w:p w14:paraId="13C02DBB" w14:textId="13EC3271"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9:221.</w:t>
      </w:r>
    </w:p>
  </w:footnote>
  <w:footnote w:id="58">
    <w:p w14:paraId="1F2793CF" w14:textId="77777777" w:rsidR="007E2D9B" w:rsidRPr="001E0AFE" w:rsidRDefault="007E2D9B">
      <w:pPr>
        <w:pStyle w:val="FootnoteText"/>
        <w:rPr>
          <w:rFonts w:ascii="Times New Roman" w:hAnsi="Times New Roman" w:cs="Times New Roman"/>
        </w:rPr>
      </w:pPr>
    </w:p>
    <w:p w14:paraId="16C15993" w14:textId="54E49D8E"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9:225.</w:t>
      </w:r>
    </w:p>
  </w:footnote>
  <w:footnote w:id="59">
    <w:p w14:paraId="2A6E107C" w14:textId="73DF6455" w:rsidR="007E2D9B" w:rsidRPr="001E0AFE" w:rsidRDefault="007E2D9B" w:rsidP="00D650E7">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D650E7" w:rsidRPr="001E0AFE">
        <w:rPr>
          <w:rFonts w:ascii="Times New Roman" w:hAnsi="Times New Roman" w:cs="Times New Roman"/>
        </w:rPr>
        <w:t>TDNT 9:22</w:t>
      </w:r>
      <w:r w:rsidR="00D650E7">
        <w:rPr>
          <w:rFonts w:ascii="Times New Roman" w:hAnsi="Times New Roman" w:cs="Times New Roman"/>
        </w:rPr>
        <w:t>2-223</w:t>
      </w:r>
      <w:r w:rsidR="00D650E7" w:rsidRPr="001E0AFE">
        <w:rPr>
          <w:rFonts w:ascii="Times New Roman" w:hAnsi="Times New Roman" w:cs="Times New Roman"/>
        </w:rPr>
        <w:t xml:space="preserve">.  </w:t>
      </w:r>
    </w:p>
  </w:footnote>
  <w:footnote w:id="60">
    <w:p w14:paraId="77CDE6DC" w14:textId="77777777" w:rsidR="007E2D9B" w:rsidRPr="001E0AFE" w:rsidRDefault="007E2D9B">
      <w:pPr>
        <w:pStyle w:val="FootnoteText"/>
        <w:rPr>
          <w:rFonts w:ascii="Times New Roman" w:hAnsi="Times New Roman" w:cs="Times New Roman"/>
        </w:rPr>
      </w:pPr>
    </w:p>
    <w:p w14:paraId="29B5E47C" w14:textId="1DB7CFDE"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w:t>
      </w:r>
    </w:p>
  </w:footnote>
  <w:footnote w:id="61">
    <w:p w14:paraId="1208A35E" w14:textId="77777777" w:rsidR="007E2D9B" w:rsidRPr="001E0AFE" w:rsidRDefault="007E2D9B">
      <w:pPr>
        <w:pStyle w:val="FootnoteText"/>
        <w:rPr>
          <w:rFonts w:ascii="Times New Roman" w:hAnsi="Times New Roman" w:cs="Times New Roman"/>
        </w:rPr>
      </w:pPr>
    </w:p>
    <w:p w14:paraId="1A4B9DE5" w14:textId="4855BE10"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62">
    <w:p w14:paraId="0E207C35" w14:textId="77777777" w:rsidR="007E2D9B" w:rsidRPr="001E0AFE" w:rsidRDefault="007E2D9B">
      <w:pPr>
        <w:pStyle w:val="FootnoteText"/>
        <w:rPr>
          <w:rFonts w:ascii="Times New Roman" w:hAnsi="Times New Roman" w:cs="Times New Roman"/>
        </w:rPr>
      </w:pPr>
    </w:p>
    <w:p w14:paraId="47D25665" w14:textId="3E9EF15B"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9:224.</w:t>
      </w:r>
    </w:p>
  </w:footnote>
  <w:footnote w:id="63">
    <w:p w14:paraId="4DB04EA5" w14:textId="77777777" w:rsidR="007E2D9B" w:rsidRPr="001E0AFE" w:rsidRDefault="007E2D9B">
      <w:pPr>
        <w:pStyle w:val="FootnoteText"/>
        <w:rPr>
          <w:rFonts w:ascii="Times New Roman" w:hAnsi="Times New Roman" w:cs="Times New Roman"/>
        </w:rPr>
      </w:pPr>
    </w:p>
    <w:p w14:paraId="45ED54E7" w14:textId="396ACA83"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BDAG, 1065.</w:t>
      </w:r>
    </w:p>
  </w:footnote>
  <w:footnote w:id="64">
    <w:p w14:paraId="12161885" w14:textId="77777777" w:rsidR="007E2D9B" w:rsidRPr="001E0AFE" w:rsidRDefault="007E2D9B">
      <w:pPr>
        <w:pStyle w:val="FootnoteText"/>
        <w:rPr>
          <w:rFonts w:ascii="Times New Roman" w:hAnsi="Times New Roman" w:cs="Times New Roman"/>
        </w:rPr>
      </w:pPr>
    </w:p>
    <w:p w14:paraId="284D9603" w14:textId="242FD89F" w:rsidR="007E2D9B" w:rsidRPr="001E0AFE" w:rsidRDefault="007E2D9B" w:rsidP="007E2D9B">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1066.</w:t>
      </w:r>
    </w:p>
  </w:footnote>
  <w:footnote w:id="65">
    <w:p w14:paraId="1794D00B" w14:textId="5AFA3E06" w:rsidR="007E2D9B" w:rsidRDefault="007E2D9B" w:rsidP="00D650E7">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DD53E9" w:rsidRPr="001E0AFE">
        <w:rPr>
          <w:rFonts w:ascii="Times New Roman" w:hAnsi="Times New Roman" w:cs="Times New Roman"/>
        </w:rPr>
        <w:t>LSJ, 1147.</w:t>
      </w:r>
    </w:p>
    <w:p w14:paraId="04A6DF10" w14:textId="77777777" w:rsidR="00D650E7" w:rsidRPr="001E0AFE" w:rsidRDefault="00D650E7" w:rsidP="00D650E7">
      <w:pPr>
        <w:pStyle w:val="FootnoteText"/>
        <w:ind w:firstLine="720"/>
        <w:rPr>
          <w:rFonts w:ascii="Times New Roman" w:hAnsi="Times New Roman" w:cs="Times New Roman"/>
        </w:rPr>
      </w:pPr>
    </w:p>
  </w:footnote>
  <w:footnote w:id="66">
    <w:p w14:paraId="587E7FE5" w14:textId="273820E1"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Gerhard Kittel, “μορφή, μορφόω, μεταμορφόω, μορφωτός,” in </w:t>
      </w:r>
      <w:r w:rsidRPr="001E0AFE">
        <w:rPr>
          <w:rFonts w:ascii="Times New Roman" w:hAnsi="Times New Roman" w:cs="Times New Roman"/>
          <w:i/>
          <w:iCs/>
          <w:color w:val="0D0D14"/>
          <w:lang w:bidi="he-IL"/>
        </w:rPr>
        <w:t>Theological Dictionary of the New Testament</w:t>
      </w:r>
      <w:r w:rsidRPr="001E0AFE">
        <w:rPr>
          <w:rFonts w:ascii="Times New Roman" w:hAnsi="Times New Roman" w:cs="Times New Roman"/>
          <w:color w:val="0D0D14"/>
          <w:lang w:bidi="he-IL"/>
        </w:rPr>
        <w:t>, ed. Gerhard Kittel, Geoffrey W. Bromiley, and Gerhard Friedrich (Grand Rapids, MI: Eerdmans, 1964–1976), 4:745.</w:t>
      </w:r>
    </w:p>
  </w:footnote>
  <w:footnote w:id="67">
    <w:p w14:paraId="2829DAED" w14:textId="77777777" w:rsidR="00DD53E9" w:rsidRPr="001E0AFE" w:rsidRDefault="00DD53E9">
      <w:pPr>
        <w:pStyle w:val="FootnoteText"/>
        <w:rPr>
          <w:rFonts w:ascii="Times New Roman" w:hAnsi="Times New Roman" w:cs="Times New Roman"/>
        </w:rPr>
      </w:pPr>
    </w:p>
    <w:p w14:paraId="2E8F238B" w14:textId="369F33C5"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4:746.</w:t>
      </w:r>
    </w:p>
  </w:footnote>
  <w:footnote w:id="68">
    <w:p w14:paraId="42EE138C" w14:textId="77777777" w:rsidR="00DD53E9" w:rsidRPr="001E0AFE" w:rsidRDefault="00DD53E9">
      <w:pPr>
        <w:pStyle w:val="FootnoteText"/>
        <w:rPr>
          <w:rFonts w:ascii="Times New Roman" w:hAnsi="Times New Roman" w:cs="Times New Roman"/>
        </w:rPr>
      </w:pPr>
    </w:p>
    <w:p w14:paraId="79C70914" w14:textId="4B81DDB5"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4:744.</w:t>
      </w:r>
    </w:p>
  </w:footnote>
  <w:footnote w:id="69">
    <w:p w14:paraId="4B72A32C" w14:textId="77777777" w:rsidR="00DD53E9" w:rsidRPr="001E0AFE" w:rsidRDefault="00DD53E9">
      <w:pPr>
        <w:pStyle w:val="FootnoteText"/>
        <w:rPr>
          <w:rFonts w:ascii="Times New Roman" w:hAnsi="Times New Roman" w:cs="Times New Roman"/>
        </w:rPr>
      </w:pPr>
    </w:p>
    <w:p w14:paraId="7AF09897" w14:textId="09EBA227"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Lust, Eynikel, and Hauspie, </w:t>
      </w:r>
      <w:r w:rsidRPr="001E0AFE">
        <w:rPr>
          <w:rStyle w:val="Emphasis"/>
          <w:rFonts w:ascii="Times New Roman" w:hAnsi="Times New Roman" w:cs="Times New Roman"/>
        </w:rPr>
        <w:t>Greek–English Lexicon of the Septuagint</w:t>
      </w:r>
      <w:r w:rsidRPr="001E0AFE">
        <w:rPr>
          <w:rFonts w:ascii="Times New Roman" w:hAnsi="Times New Roman" w:cs="Times New Roman"/>
        </w:rPr>
        <w:t>, s.v. “μορφή.”</w:t>
      </w:r>
    </w:p>
  </w:footnote>
  <w:footnote w:id="70">
    <w:p w14:paraId="36063D2A" w14:textId="4AA85349" w:rsidR="00DD53E9" w:rsidRPr="001E0AFE" w:rsidRDefault="00DD53E9" w:rsidP="00D650E7">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BDAG, 659.</w:t>
      </w:r>
    </w:p>
  </w:footnote>
  <w:footnote w:id="71">
    <w:p w14:paraId="14E732B1" w14:textId="77777777" w:rsidR="00DD53E9" w:rsidRPr="001E0AFE" w:rsidRDefault="00DD53E9">
      <w:pPr>
        <w:pStyle w:val="FootnoteText"/>
        <w:rPr>
          <w:rFonts w:ascii="Times New Roman" w:hAnsi="Times New Roman" w:cs="Times New Roman"/>
        </w:rPr>
      </w:pPr>
    </w:p>
    <w:p w14:paraId="247A1F5C" w14:textId="612D302E"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w:t>
      </w:r>
    </w:p>
  </w:footnote>
  <w:footnote w:id="72">
    <w:p w14:paraId="3F3F3BA7" w14:textId="0CCC93B8"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133.</w:t>
      </w:r>
    </w:p>
  </w:footnote>
  <w:footnote w:id="73">
    <w:p w14:paraId="0B0FEB85" w14:textId="77777777" w:rsidR="00DD53E9" w:rsidRPr="001E0AFE" w:rsidRDefault="00DD53E9">
      <w:pPr>
        <w:pStyle w:val="FootnoteText"/>
        <w:rPr>
          <w:rFonts w:ascii="Times New Roman" w:hAnsi="Times New Roman" w:cs="Times New Roman"/>
        </w:rPr>
      </w:pPr>
    </w:p>
    <w:p w14:paraId="47DA0218" w14:textId="1037CB23" w:rsidR="00DD53E9"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p w14:paraId="554A4083" w14:textId="77777777" w:rsidR="00D650E7" w:rsidRPr="001E0AFE" w:rsidRDefault="00D650E7" w:rsidP="00DD53E9">
      <w:pPr>
        <w:pStyle w:val="FootnoteText"/>
        <w:ind w:firstLine="720"/>
        <w:rPr>
          <w:rFonts w:ascii="Times New Roman" w:hAnsi="Times New Roman" w:cs="Times New Roman"/>
        </w:rPr>
      </w:pPr>
    </w:p>
  </w:footnote>
  <w:footnote w:id="74">
    <w:p w14:paraId="3CCB6EDA" w14:textId="1051E780"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539.</w:t>
      </w:r>
    </w:p>
  </w:footnote>
  <w:footnote w:id="75">
    <w:p w14:paraId="32A5AB72" w14:textId="77777777" w:rsidR="00DD53E9" w:rsidRPr="001E0AFE" w:rsidRDefault="00DD53E9">
      <w:pPr>
        <w:pStyle w:val="FootnoteText"/>
        <w:rPr>
          <w:rFonts w:ascii="Times New Roman" w:hAnsi="Times New Roman" w:cs="Times New Roman"/>
        </w:rPr>
      </w:pPr>
    </w:p>
    <w:p w14:paraId="233377AB" w14:textId="09227D1F"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TDNT, 4:660.</w:t>
      </w:r>
    </w:p>
  </w:footnote>
  <w:footnote w:id="76">
    <w:p w14:paraId="59A18D01" w14:textId="77777777" w:rsidR="00DD53E9" w:rsidRPr="001E0AFE" w:rsidRDefault="00DD53E9">
      <w:pPr>
        <w:pStyle w:val="FootnoteText"/>
        <w:rPr>
          <w:rFonts w:ascii="Times New Roman" w:hAnsi="Times New Roman" w:cs="Times New Roman"/>
        </w:rPr>
      </w:pPr>
    </w:p>
    <w:p w14:paraId="7E093E1B" w14:textId="248C6AFE"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77">
    <w:p w14:paraId="291E5B11" w14:textId="63122A8B" w:rsidR="00DD53E9" w:rsidRPr="001E0AFE" w:rsidRDefault="00DD53E9" w:rsidP="00DD53E9">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Lust, Eynikel, and Hauspie, </w:t>
      </w:r>
      <w:r w:rsidRPr="001E0AFE">
        <w:rPr>
          <w:rStyle w:val="Emphasis"/>
          <w:rFonts w:ascii="Times New Roman" w:hAnsi="Times New Roman" w:cs="Times New Roman"/>
        </w:rPr>
        <w:t>Greek–English Lexicon of the Septuagint</w:t>
      </w:r>
      <w:r w:rsidRPr="001E0AFE">
        <w:rPr>
          <w:rFonts w:ascii="Times New Roman" w:hAnsi="Times New Roman" w:cs="Times New Roman"/>
        </w:rPr>
        <w:t>, s.v. “κενόω.”</w:t>
      </w:r>
    </w:p>
  </w:footnote>
  <w:footnote w:id="78">
    <w:p w14:paraId="00CC7F86" w14:textId="77777777" w:rsidR="00DD53E9" w:rsidRPr="001E0AFE" w:rsidRDefault="00DD53E9">
      <w:pPr>
        <w:pStyle w:val="FootnoteText"/>
        <w:rPr>
          <w:rFonts w:ascii="Times New Roman" w:hAnsi="Times New Roman" w:cs="Times New Roman"/>
        </w:rPr>
      </w:pPr>
    </w:p>
    <w:p w14:paraId="353FC089" w14:textId="26D229E3" w:rsidR="00DD53E9" w:rsidRDefault="00DD53E9" w:rsidP="00DD53E9">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132573" w:rsidRPr="001E0AFE">
        <w:rPr>
          <w:rFonts w:ascii="Times New Roman" w:hAnsi="Times New Roman" w:cs="Times New Roman"/>
          <w:color w:val="0D0D14"/>
          <w:lang w:bidi="he-IL"/>
        </w:rPr>
        <w:t>Ibid.</w:t>
      </w:r>
    </w:p>
    <w:p w14:paraId="50875ED5" w14:textId="77777777" w:rsidR="00D650E7" w:rsidRPr="001E0AFE" w:rsidRDefault="00D650E7" w:rsidP="00DD53E9">
      <w:pPr>
        <w:pStyle w:val="FootnoteText"/>
        <w:ind w:firstLine="720"/>
        <w:rPr>
          <w:rFonts w:ascii="Times New Roman" w:hAnsi="Times New Roman" w:cs="Times New Roman"/>
        </w:rPr>
      </w:pPr>
    </w:p>
  </w:footnote>
  <w:footnote w:id="79">
    <w:p w14:paraId="5BA91A0A" w14:textId="7831055D" w:rsidR="00132573" w:rsidRPr="001E0AFE" w:rsidRDefault="00132573" w:rsidP="0013257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TDNT, 3:659.</w:t>
      </w:r>
    </w:p>
  </w:footnote>
  <w:footnote w:id="80">
    <w:p w14:paraId="0361DC76" w14:textId="77777777" w:rsidR="00132573" w:rsidRPr="001E0AFE" w:rsidRDefault="00132573">
      <w:pPr>
        <w:pStyle w:val="FootnoteText"/>
        <w:rPr>
          <w:rFonts w:ascii="Times New Roman" w:hAnsi="Times New Roman" w:cs="Times New Roman"/>
        </w:rPr>
      </w:pPr>
    </w:p>
    <w:p w14:paraId="74733108" w14:textId="3A86CF86" w:rsidR="00132573" w:rsidRPr="001E0AFE" w:rsidRDefault="00132573" w:rsidP="0013257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539.</w:t>
      </w:r>
    </w:p>
  </w:footnote>
  <w:footnote w:id="81">
    <w:p w14:paraId="740418FC" w14:textId="77777777" w:rsidR="00132573" w:rsidRPr="001E0AFE" w:rsidRDefault="00132573">
      <w:pPr>
        <w:pStyle w:val="FootnoteText"/>
        <w:rPr>
          <w:rFonts w:ascii="Times New Roman" w:hAnsi="Times New Roman" w:cs="Times New Roman"/>
        </w:rPr>
      </w:pPr>
    </w:p>
    <w:p w14:paraId="4E230405" w14:textId="1314E63C" w:rsidR="00132573" w:rsidRPr="001E0AFE" w:rsidRDefault="00132573" w:rsidP="0013257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82">
    <w:p w14:paraId="2709797E" w14:textId="164CD83C" w:rsidR="00132573" w:rsidRDefault="00132573" w:rsidP="00D650E7">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s.v. “ταπεινόω.”</w:t>
      </w:r>
    </w:p>
    <w:p w14:paraId="4035AD73" w14:textId="77777777" w:rsidR="00D650E7" w:rsidRPr="001E0AFE" w:rsidRDefault="00D650E7" w:rsidP="00D650E7">
      <w:pPr>
        <w:pStyle w:val="FootnoteText"/>
        <w:ind w:firstLine="720"/>
        <w:rPr>
          <w:rFonts w:ascii="Times New Roman" w:hAnsi="Times New Roman" w:cs="Times New Roman"/>
        </w:rPr>
      </w:pPr>
    </w:p>
  </w:footnote>
  <w:footnote w:id="83">
    <w:p w14:paraId="60ABF98A" w14:textId="2965A282"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TDNT, 8:660.</w:t>
      </w:r>
    </w:p>
  </w:footnote>
  <w:footnote w:id="84">
    <w:p w14:paraId="06DDE449" w14:textId="77777777" w:rsidR="00D85940" w:rsidRPr="001E0AFE" w:rsidRDefault="00D85940">
      <w:pPr>
        <w:pStyle w:val="FootnoteText"/>
        <w:rPr>
          <w:rFonts w:ascii="Times New Roman" w:hAnsi="Times New Roman" w:cs="Times New Roman"/>
        </w:rPr>
      </w:pPr>
    </w:p>
    <w:p w14:paraId="7CE50CB3" w14:textId="6D18C8A1"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 </w:t>
      </w:r>
    </w:p>
  </w:footnote>
  <w:footnote w:id="85">
    <w:p w14:paraId="319CB016" w14:textId="77777777" w:rsidR="00D85940" w:rsidRPr="001E0AFE" w:rsidRDefault="00D85940">
      <w:pPr>
        <w:pStyle w:val="FootnoteText"/>
        <w:rPr>
          <w:rFonts w:ascii="Times New Roman" w:hAnsi="Times New Roman" w:cs="Times New Roman"/>
        </w:rPr>
      </w:pPr>
    </w:p>
    <w:p w14:paraId="26F6FF0D" w14:textId="0D08FF5B"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86">
    <w:p w14:paraId="764EF1ED" w14:textId="77777777" w:rsidR="00D85940" w:rsidRPr="001E0AFE" w:rsidRDefault="00D85940">
      <w:pPr>
        <w:pStyle w:val="FootnoteText"/>
        <w:rPr>
          <w:rFonts w:ascii="Times New Roman" w:hAnsi="Times New Roman" w:cs="Times New Roman"/>
        </w:rPr>
      </w:pPr>
    </w:p>
    <w:p w14:paraId="0BC8506B" w14:textId="65093BEB"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Aristotle, </w:t>
      </w:r>
      <w:r w:rsidRPr="001E0AFE">
        <w:rPr>
          <w:rFonts w:ascii="Times New Roman" w:hAnsi="Times New Roman" w:cs="Times New Roman"/>
          <w:i/>
          <w:iCs/>
          <w:color w:val="0D0D14"/>
          <w:lang w:bidi="he-IL"/>
        </w:rPr>
        <w:t>Rhetoric</w:t>
      </w:r>
      <w:r w:rsidRPr="001E0AFE">
        <w:rPr>
          <w:rFonts w:ascii="Times New Roman" w:hAnsi="Times New Roman" w:cs="Times New Roman"/>
          <w:color w:val="0D0D14"/>
          <w:lang w:bidi="he-IL"/>
        </w:rPr>
        <w:t xml:space="preserve"> 2.3.1380a23–33.</w:t>
      </w:r>
    </w:p>
  </w:footnote>
  <w:footnote w:id="87">
    <w:p w14:paraId="6221F8FC" w14:textId="1009B2EB"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TDNT, 8:661.</w:t>
      </w:r>
    </w:p>
  </w:footnote>
  <w:footnote w:id="88">
    <w:p w14:paraId="3222A937" w14:textId="77777777" w:rsidR="00D85940" w:rsidRPr="001E0AFE" w:rsidRDefault="00D85940">
      <w:pPr>
        <w:pStyle w:val="FootnoteText"/>
        <w:rPr>
          <w:rFonts w:ascii="Times New Roman" w:hAnsi="Times New Roman" w:cs="Times New Roman"/>
        </w:rPr>
      </w:pPr>
    </w:p>
    <w:p w14:paraId="33E4C713" w14:textId="51534BE3" w:rsidR="00D85940" w:rsidRDefault="00D85940" w:rsidP="00D85940">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w:t>
      </w:r>
    </w:p>
    <w:p w14:paraId="09365EC6" w14:textId="77777777" w:rsidR="00D650E7" w:rsidRPr="001E0AFE" w:rsidRDefault="00D650E7" w:rsidP="00D85940">
      <w:pPr>
        <w:pStyle w:val="FootnoteText"/>
        <w:ind w:firstLine="720"/>
        <w:rPr>
          <w:rFonts w:ascii="Times New Roman" w:hAnsi="Times New Roman" w:cs="Times New Roman"/>
        </w:rPr>
      </w:pPr>
    </w:p>
  </w:footnote>
  <w:footnote w:id="89">
    <w:p w14:paraId="693E417B" w14:textId="29F29912"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990.</w:t>
      </w:r>
    </w:p>
  </w:footnote>
  <w:footnote w:id="90">
    <w:p w14:paraId="22CFB9C6" w14:textId="77777777" w:rsidR="00D85940" w:rsidRPr="001E0AFE" w:rsidRDefault="00D85940">
      <w:pPr>
        <w:pStyle w:val="FootnoteText"/>
        <w:rPr>
          <w:rFonts w:ascii="Times New Roman" w:hAnsi="Times New Roman" w:cs="Times New Roman"/>
        </w:rPr>
      </w:pPr>
    </w:p>
    <w:p w14:paraId="6E9EC275" w14:textId="7DC5A655" w:rsidR="00D85940" w:rsidRPr="001E0AFE" w:rsidRDefault="00D85940" w:rsidP="00D85940">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91">
    <w:p w14:paraId="2409ECA9" w14:textId="44B31AB6" w:rsidR="00B87C8D" w:rsidRPr="001E0AFE" w:rsidRDefault="00B87C8D" w:rsidP="00D650E7">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s.v. “ὑπήκοος.”</w:t>
      </w:r>
    </w:p>
  </w:footnote>
  <w:footnote w:id="92">
    <w:p w14:paraId="1DBAB81F" w14:textId="77777777" w:rsidR="00B87C8D" w:rsidRPr="001E0AFE" w:rsidRDefault="00B87C8D">
      <w:pPr>
        <w:pStyle w:val="FootnoteText"/>
        <w:rPr>
          <w:rFonts w:ascii="Times New Roman" w:hAnsi="Times New Roman" w:cs="Times New Roman"/>
        </w:rPr>
      </w:pPr>
    </w:p>
    <w:p w14:paraId="11BF26A4" w14:textId="0321A762" w:rsidR="00B87C8D" w:rsidRPr="001E0AFE" w:rsidRDefault="00B87C8D" w:rsidP="00B87C8D">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93">
    <w:p w14:paraId="31F2E503" w14:textId="77777777" w:rsidR="00B87C8D" w:rsidRPr="001E0AFE" w:rsidRDefault="00B87C8D">
      <w:pPr>
        <w:pStyle w:val="FootnoteText"/>
        <w:rPr>
          <w:rFonts w:ascii="Times New Roman" w:hAnsi="Times New Roman" w:cs="Times New Roman"/>
        </w:rPr>
      </w:pPr>
    </w:p>
    <w:p w14:paraId="56679E79" w14:textId="279EDDEA" w:rsidR="00B87C8D" w:rsidRPr="001E0AFE" w:rsidRDefault="00B87C8D" w:rsidP="00B87C8D">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TDNT, s.v. “ὑπήκοος.”</w:t>
      </w:r>
    </w:p>
  </w:footnote>
  <w:footnote w:id="94">
    <w:p w14:paraId="7F3CB483" w14:textId="6FA34178" w:rsidR="00B87C8D" w:rsidRDefault="00B87C8D" w:rsidP="000A5BFC">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Logos Bible Software, version 10, Bible Word Study: “ὑπήκοος,” accessed November 9, 2025.</w:t>
      </w:r>
    </w:p>
    <w:p w14:paraId="4B55D7DB" w14:textId="77777777" w:rsidR="000A5BFC" w:rsidRPr="001E0AFE" w:rsidRDefault="000A5BFC" w:rsidP="000A5BFC">
      <w:pPr>
        <w:pStyle w:val="FootnoteText"/>
        <w:ind w:firstLine="720"/>
        <w:rPr>
          <w:rFonts w:ascii="Times New Roman" w:hAnsi="Times New Roman" w:cs="Times New Roman"/>
        </w:rPr>
      </w:pPr>
    </w:p>
  </w:footnote>
  <w:footnote w:id="95">
    <w:p w14:paraId="3458B775" w14:textId="253AAAE6"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John Peter Lange et al., </w:t>
      </w:r>
      <w:r w:rsidRPr="001E0AFE">
        <w:rPr>
          <w:rFonts w:ascii="Times New Roman" w:hAnsi="Times New Roman" w:cs="Times New Roman"/>
          <w:i/>
          <w:iCs/>
          <w:color w:val="0D0D14"/>
          <w:lang w:bidi="he-IL"/>
        </w:rPr>
        <w:t>A Commentary on the Holy Scriptures: Philippians</w:t>
      </w:r>
      <w:r w:rsidRPr="001E0AFE">
        <w:rPr>
          <w:rFonts w:ascii="Times New Roman" w:hAnsi="Times New Roman" w:cs="Times New Roman"/>
          <w:color w:val="0D0D14"/>
          <w:lang w:bidi="he-IL"/>
        </w:rPr>
        <w:t xml:space="preserve"> (Bellingham, WA: Logos Bible Software, 2008), 31.</w:t>
      </w:r>
    </w:p>
  </w:footnote>
  <w:footnote w:id="96">
    <w:p w14:paraId="454B9012" w14:textId="77777777" w:rsidR="007925A1" w:rsidRPr="001E0AFE" w:rsidRDefault="007925A1">
      <w:pPr>
        <w:pStyle w:val="FootnoteText"/>
        <w:rPr>
          <w:rFonts w:ascii="Times New Roman" w:hAnsi="Times New Roman" w:cs="Times New Roman"/>
        </w:rPr>
      </w:pPr>
    </w:p>
    <w:p w14:paraId="3636BADC" w14:textId="18CCE729"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 Harold Greenlee, </w:t>
      </w:r>
      <w:r w:rsidRPr="001E0AFE">
        <w:rPr>
          <w:rFonts w:ascii="Times New Roman" w:hAnsi="Times New Roman" w:cs="Times New Roman"/>
          <w:i/>
          <w:iCs/>
          <w:color w:val="0D0D14"/>
          <w:lang w:bidi="he-IL"/>
        </w:rPr>
        <w:t>An Exegetical Summary of Philippians</w:t>
      </w:r>
      <w:r w:rsidRPr="001E0AFE">
        <w:rPr>
          <w:rFonts w:ascii="Times New Roman" w:hAnsi="Times New Roman" w:cs="Times New Roman"/>
          <w:color w:val="0D0D14"/>
          <w:lang w:bidi="he-IL"/>
        </w:rPr>
        <w:t>, 2nd ed. (Dallas, TX: SIL International, 2008), 83.</w:t>
      </w:r>
    </w:p>
  </w:footnote>
  <w:footnote w:id="97">
    <w:p w14:paraId="22D6167E" w14:textId="5765DA42"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Gordon D. Fee,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vol. 11, The IVP New Testament Commentary Series (Westmont, IL: IVP Academic, 1999), 84.</w:t>
      </w:r>
    </w:p>
  </w:footnote>
  <w:footnote w:id="98">
    <w:p w14:paraId="1359B1E6" w14:textId="77777777" w:rsidR="007925A1" w:rsidRPr="001E0AFE" w:rsidRDefault="007925A1">
      <w:pPr>
        <w:pStyle w:val="FootnoteText"/>
        <w:rPr>
          <w:rFonts w:ascii="Times New Roman" w:hAnsi="Times New Roman" w:cs="Times New Roman"/>
        </w:rPr>
      </w:pPr>
    </w:p>
    <w:p w14:paraId="5DF4EE01" w14:textId="260EAB96"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Daniel B. Wallace, </w:t>
      </w:r>
      <w:r w:rsidRPr="001E0AFE">
        <w:rPr>
          <w:rFonts w:ascii="Times New Roman" w:hAnsi="Times New Roman" w:cs="Times New Roman"/>
          <w:i/>
          <w:iCs/>
          <w:color w:val="0D0D14"/>
          <w:lang w:bidi="he-IL"/>
        </w:rPr>
        <w:t>Greek Grammar Beyond the Basics: An Exegetical Syntax of the New Testament</w:t>
      </w:r>
      <w:r w:rsidRPr="001E0AFE">
        <w:rPr>
          <w:rFonts w:ascii="Times New Roman" w:hAnsi="Times New Roman" w:cs="Times New Roman"/>
          <w:color w:val="0D0D14"/>
          <w:lang w:bidi="he-IL"/>
        </w:rPr>
        <w:t xml:space="preserve"> (Grand Rapids, MI: Zondervan, 1996), 450.</w:t>
      </w:r>
    </w:p>
  </w:footnote>
  <w:footnote w:id="99">
    <w:p w14:paraId="6A9A0754" w14:textId="77777777" w:rsidR="007925A1" w:rsidRPr="001E0AFE" w:rsidRDefault="007925A1" w:rsidP="007925A1">
      <w:pPr>
        <w:pStyle w:val="FootnoteText"/>
        <w:ind w:firstLine="720"/>
        <w:rPr>
          <w:rFonts w:ascii="Times New Roman" w:hAnsi="Times New Roman" w:cs="Times New Roman"/>
        </w:rPr>
      </w:pPr>
    </w:p>
    <w:p w14:paraId="26BC70CA" w14:textId="1CA77078"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37.</w:t>
      </w:r>
    </w:p>
  </w:footnote>
  <w:footnote w:id="100">
    <w:p w14:paraId="4D8F3A2C" w14:textId="77777777" w:rsidR="007925A1" w:rsidRPr="001E0AFE" w:rsidRDefault="007925A1">
      <w:pPr>
        <w:pStyle w:val="FootnoteText"/>
        <w:rPr>
          <w:rFonts w:ascii="Times New Roman" w:hAnsi="Times New Roman" w:cs="Times New Roman"/>
        </w:rPr>
      </w:pPr>
    </w:p>
    <w:p w14:paraId="441C327C" w14:textId="73E35513"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An Exegetical Summary of Philippians</w:t>
      </w:r>
      <w:r w:rsidRPr="001E0AFE">
        <w:rPr>
          <w:rFonts w:ascii="Times New Roman" w:hAnsi="Times New Roman" w:cs="Times New Roman"/>
          <w:color w:val="0D0D14"/>
          <w:lang w:bidi="he-IL"/>
        </w:rPr>
        <w:t>, 83.</w:t>
      </w:r>
    </w:p>
  </w:footnote>
  <w:footnote w:id="101">
    <w:p w14:paraId="6DCCD2FE" w14:textId="1E490B26" w:rsidR="007925A1" w:rsidRPr="001E0AFE" w:rsidRDefault="007925A1" w:rsidP="000A5BFC">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0A5BFC" w:rsidRPr="001E0AFE">
        <w:rPr>
          <w:rFonts w:ascii="Times New Roman" w:hAnsi="Times New Roman" w:cs="Times New Roman"/>
          <w:color w:val="0D0D14"/>
          <w:lang w:bidi="he-IL"/>
        </w:rPr>
        <w:t xml:space="preserve">Greenlee, </w:t>
      </w:r>
      <w:r w:rsidR="000A5BFC" w:rsidRPr="001E0AFE">
        <w:rPr>
          <w:rFonts w:ascii="Times New Roman" w:hAnsi="Times New Roman" w:cs="Times New Roman"/>
          <w:i/>
          <w:iCs/>
          <w:color w:val="0D0D14"/>
          <w:lang w:bidi="he-IL"/>
        </w:rPr>
        <w:t>An Exegetical Summary of Philippians</w:t>
      </w:r>
      <w:r w:rsidR="000A5BFC" w:rsidRPr="001E0AFE">
        <w:rPr>
          <w:rFonts w:ascii="Times New Roman" w:hAnsi="Times New Roman" w:cs="Times New Roman"/>
          <w:color w:val="0D0D14"/>
          <w:lang w:bidi="he-IL"/>
        </w:rPr>
        <w:t>, 83.</w:t>
      </w:r>
    </w:p>
  </w:footnote>
  <w:footnote w:id="102">
    <w:p w14:paraId="5608782E" w14:textId="77777777" w:rsidR="007925A1" w:rsidRPr="001E0AFE" w:rsidRDefault="007925A1">
      <w:pPr>
        <w:pStyle w:val="FootnoteText"/>
        <w:rPr>
          <w:rFonts w:ascii="Times New Roman" w:hAnsi="Times New Roman" w:cs="Times New Roman"/>
        </w:rPr>
      </w:pPr>
    </w:p>
    <w:p w14:paraId="3DA0E378" w14:textId="3D638FA6" w:rsidR="007925A1" w:rsidRDefault="007925A1" w:rsidP="007925A1">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Homer A. Kent Jr., “Philippians,” in </w:t>
      </w:r>
      <w:r w:rsidRPr="001E0AFE">
        <w:rPr>
          <w:rFonts w:ascii="Times New Roman" w:hAnsi="Times New Roman" w:cs="Times New Roman"/>
          <w:i/>
          <w:iCs/>
          <w:color w:val="0D0D14"/>
          <w:lang w:bidi="he-IL"/>
        </w:rPr>
        <w:t>The Expositor’s Bible Commentary: Ephesians through Philemon</w:t>
      </w:r>
      <w:r w:rsidRPr="001E0AFE">
        <w:rPr>
          <w:rFonts w:ascii="Times New Roman" w:hAnsi="Times New Roman" w:cs="Times New Roman"/>
          <w:color w:val="0D0D14"/>
          <w:lang w:bidi="he-IL"/>
        </w:rPr>
        <w:t>, ed. Frank E. Gaebelein, vol. 11 (Grand Rapids, MI: Zondervan Publishing House, 1981), 121.</w:t>
      </w:r>
    </w:p>
    <w:p w14:paraId="332D0F9F" w14:textId="77777777" w:rsidR="000A5BFC" w:rsidRPr="001E0AFE" w:rsidRDefault="000A5BFC" w:rsidP="007925A1">
      <w:pPr>
        <w:pStyle w:val="FootnoteText"/>
        <w:ind w:firstLine="720"/>
        <w:rPr>
          <w:rFonts w:ascii="Times New Roman" w:hAnsi="Times New Roman" w:cs="Times New Roman"/>
        </w:rPr>
      </w:pPr>
    </w:p>
  </w:footnote>
  <w:footnote w:id="103">
    <w:p w14:paraId="6FEEE65D" w14:textId="09B3B2C3"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I-Jin Loh and Eugene Albert Nida, </w:t>
      </w:r>
      <w:r w:rsidRPr="001E0AFE">
        <w:rPr>
          <w:rFonts w:ascii="Times New Roman" w:hAnsi="Times New Roman" w:cs="Times New Roman"/>
          <w:i/>
          <w:iCs/>
          <w:color w:val="0D0D14"/>
          <w:lang w:bidi="he-IL"/>
        </w:rPr>
        <w:t>A Handbook on Paul’s Letter to the Philippians</w:t>
      </w:r>
      <w:r w:rsidRPr="001E0AFE">
        <w:rPr>
          <w:rFonts w:ascii="Times New Roman" w:hAnsi="Times New Roman" w:cs="Times New Roman"/>
          <w:color w:val="0D0D14"/>
          <w:lang w:bidi="he-IL"/>
        </w:rPr>
        <w:t>, UBS Handbook Series (New York: United Bible Societies, 1995), 47.</w:t>
      </w:r>
    </w:p>
  </w:footnote>
  <w:footnote w:id="104">
    <w:p w14:paraId="7B712A19" w14:textId="336A9FAC" w:rsidR="007925A1" w:rsidRPr="001E0AFE" w:rsidRDefault="007925A1" w:rsidP="000A5BFC">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An Exegetical Summary of Philippians</w:t>
      </w:r>
      <w:r w:rsidRPr="001E0AFE">
        <w:rPr>
          <w:rFonts w:ascii="Times New Roman" w:hAnsi="Times New Roman" w:cs="Times New Roman"/>
          <w:color w:val="0D0D14"/>
          <w:lang w:bidi="he-IL"/>
        </w:rPr>
        <w:t>, 87.</w:t>
      </w:r>
    </w:p>
  </w:footnote>
  <w:footnote w:id="105">
    <w:p w14:paraId="6D717A51" w14:textId="77777777" w:rsidR="007925A1" w:rsidRPr="001E0AFE" w:rsidRDefault="007925A1">
      <w:pPr>
        <w:pStyle w:val="FootnoteText"/>
        <w:rPr>
          <w:rFonts w:ascii="Times New Roman" w:hAnsi="Times New Roman" w:cs="Times New Roman"/>
        </w:rPr>
      </w:pPr>
    </w:p>
    <w:p w14:paraId="508C80EA" w14:textId="6BF31FA4" w:rsidR="007925A1" w:rsidRDefault="007925A1" w:rsidP="007925A1">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Ibid., 86–87.</w:t>
      </w:r>
    </w:p>
    <w:p w14:paraId="2C5A44D7" w14:textId="77777777" w:rsidR="000A5BFC" w:rsidRPr="001E0AFE" w:rsidRDefault="000A5BFC" w:rsidP="007925A1">
      <w:pPr>
        <w:pStyle w:val="FootnoteText"/>
        <w:ind w:firstLine="720"/>
        <w:rPr>
          <w:rFonts w:ascii="Times New Roman" w:hAnsi="Times New Roman" w:cs="Times New Roman"/>
        </w:rPr>
      </w:pPr>
    </w:p>
  </w:footnote>
  <w:footnote w:id="106">
    <w:p w14:paraId="3799FFEF" w14:textId="5EEB97BE" w:rsidR="007925A1" w:rsidRPr="001E0AFE" w:rsidRDefault="007925A1" w:rsidP="007925A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56215F" w:rsidRPr="001E0AFE">
        <w:rPr>
          <w:rFonts w:ascii="Times New Roman" w:hAnsi="Times New Roman" w:cs="Times New Roman"/>
        </w:rPr>
        <w:t xml:space="preserve">Silva, </w:t>
      </w:r>
      <w:r w:rsidR="0056215F" w:rsidRPr="001E0AFE">
        <w:rPr>
          <w:rStyle w:val="Emphasis"/>
          <w:rFonts w:ascii="Times New Roman" w:hAnsi="Times New Roman" w:cs="Times New Roman"/>
        </w:rPr>
        <w:t>Philippians</w:t>
      </w:r>
      <w:r w:rsidR="0056215F" w:rsidRPr="001E0AFE">
        <w:rPr>
          <w:rFonts w:ascii="Times New Roman" w:hAnsi="Times New Roman" w:cs="Times New Roman"/>
        </w:rPr>
        <w:t>, 91.</w:t>
      </w:r>
    </w:p>
  </w:footnote>
  <w:footnote w:id="107">
    <w:p w14:paraId="7DCC6F42" w14:textId="77777777" w:rsidR="0056215F" w:rsidRPr="001E0AFE" w:rsidRDefault="0056215F">
      <w:pPr>
        <w:pStyle w:val="FootnoteText"/>
        <w:rPr>
          <w:rFonts w:ascii="Times New Roman" w:hAnsi="Times New Roman" w:cs="Times New Roman"/>
        </w:rPr>
      </w:pPr>
    </w:p>
    <w:p w14:paraId="3F0816FD" w14:textId="4F73937A" w:rsidR="0056215F" w:rsidRPr="001E0AFE" w:rsidRDefault="0056215F" w:rsidP="005621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108">
    <w:p w14:paraId="30BE855B" w14:textId="47287792" w:rsidR="0056215F" w:rsidRDefault="0056215F" w:rsidP="000A5BFC">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Andrew Knowles, </w:t>
      </w:r>
      <w:r w:rsidRPr="001E0AFE">
        <w:rPr>
          <w:rFonts w:ascii="Times New Roman" w:hAnsi="Times New Roman" w:cs="Times New Roman"/>
          <w:i/>
          <w:iCs/>
          <w:color w:val="0D0D14"/>
          <w:lang w:bidi="he-IL"/>
        </w:rPr>
        <w:t>The Bible Guide</w:t>
      </w:r>
      <w:r w:rsidRPr="001E0AFE">
        <w:rPr>
          <w:rFonts w:ascii="Times New Roman" w:hAnsi="Times New Roman" w:cs="Times New Roman"/>
          <w:color w:val="0D0D14"/>
          <w:lang w:bidi="he-IL"/>
        </w:rPr>
        <w:t>, 1st Augsburg Books ed. (Minneapolis, MN: Augsburg, 2001), 626.</w:t>
      </w:r>
    </w:p>
    <w:p w14:paraId="6B09757D" w14:textId="77777777" w:rsidR="000A5BFC" w:rsidRPr="001E0AFE" w:rsidRDefault="000A5BFC" w:rsidP="000A5BFC">
      <w:pPr>
        <w:pStyle w:val="FootnoteText"/>
        <w:ind w:firstLine="720"/>
        <w:rPr>
          <w:rFonts w:ascii="Times New Roman" w:hAnsi="Times New Roman" w:cs="Times New Roman"/>
        </w:rPr>
      </w:pPr>
    </w:p>
  </w:footnote>
  <w:footnote w:id="109">
    <w:p w14:paraId="1C82D63E" w14:textId="5FFD30E3" w:rsidR="0056215F" w:rsidRPr="001E0AFE" w:rsidRDefault="0056215F" w:rsidP="005621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 C. G. Moule, </w:t>
      </w:r>
      <w:r w:rsidRPr="001E0AFE">
        <w:rPr>
          <w:rFonts w:ascii="Times New Roman" w:hAnsi="Times New Roman" w:cs="Times New Roman"/>
          <w:i/>
          <w:iCs/>
          <w:color w:val="0D0D14"/>
          <w:lang w:bidi="he-IL"/>
        </w:rPr>
        <w:t>The Epistle to the Philippians, with Introduction and Notes</w:t>
      </w:r>
      <w:r w:rsidRPr="001E0AFE">
        <w:rPr>
          <w:rFonts w:ascii="Times New Roman" w:hAnsi="Times New Roman" w:cs="Times New Roman"/>
          <w:color w:val="0D0D14"/>
          <w:lang w:bidi="he-IL"/>
        </w:rPr>
        <w:t>, The Cambridge Bible for Schools and Colleges (Cambridge: Cambridge University Press, 1893), 62.</w:t>
      </w:r>
    </w:p>
  </w:footnote>
  <w:footnote w:id="110">
    <w:p w14:paraId="36EC0126" w14:textId="1C072E86" w:rsidR="0056215F" w:rsidRPr="001E0AFE" w:rsidRDefault="0056215F" w:rsidP="00E00B0C">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Hellerman, </w:t>
      </w:r>
      <w:r w:rsidRPr="001E0AFE">
        <w:rPr>
          <w:rStyle w:val="Emphasis"/>
          <w:rFonts w:ascii="Times New Roman" w:hAnsi="Times New Roman" w:cs="Times New Roman"/>
        </w:rPr>
        <w:t>Philippians</w:t>
      </w:r>
      <w:r w:rsidRPr="001E0AFE">
        <w:rPr>
          <w:rFonts w:ascii="Times New Roman" w:hAnsi="Times New Roman" w:cs="Times New Roman"/>
        </w:rPr>
        <w:t>, 99.</w:t>
      </w:r>
    </w:p>
  </w:footnote>
  <w:footnote w:id="111">
    <w:p w14:paraId="027B92F4" w14:textId="77777777" w:rsidR="0056215F" w:rsidRPr="001E0AFE" w:rsidRDefault="0056215F">
      <w:pPr>
        <w:pStyle w:val="FootnoteText"/>
        <w:rPr>
          <w:rFonts w:ascii="Times New Roman" w:hAnsi="Times New Roman" w:cs="Times New Roman"/>
        </w:rPr>
      </w:pPr>
    </w:p>
    <w:p w14:paraId="59CB17DB" w14:textId="24E3EDA2" w:rsidR="0056215F" w:rsidRPr="001E0AFE" w:rsidRDefault="0056215F" w:rsidP="005621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An Exegetical Summary of Philippians</w:t>
      </w:r>
      <w:r w:rsidRPr="001E0AFE">
        <w:rPr>
          <w:rFonts w:ascii="Times New Roman" w:hAnsi="Times New Roman" w:cs="Times New Roman"/>
          <w:color w:val="0D0D14"/>
          <w:lang w:bidi="he-IL"/>
        </w:rPr>
        <w:t>, 89.</w:t>
      </w:r>
    </w:p>
  </w:footnote>
  <w:footnote w:id="112">
    <w:p w14:paraId="6F7C11E8" w14:textId="05C7E127" w:rsidR="0056215F" w:rsidRPr="001E0AFE" w:rsidRDefault="0056215F" w:rsidP="0056215F">
      <w:pPr>
        <w:pStyle w:val="FootnoteText"/>
        <w:tabs>
          <w:tab w:val="left" w:pos="3360"/>
        </w:tabs>
        <w:rPr>
          <w:rFonts w:ascii="Times New Roman" w:hAnsi="Times New Roman" w:cs="Times New Roman"/>
        </w:rPr>
      </w:pPr>
      <w:r w:rsidRPr="001E0AFE">
        <w:rPr>
          <w:rFonts w:ascii="Times New Roman" w:hAnsi="Times New Roman" w:cs="Times New Roman"/>
        </w:rPr>
        <w:tab/>
      </w:r>
    </w:p>
    <w:p w14:paraId="3E71BC9A" w14:textId="7BAB24F0" w:rsidR="0056215F" w:rsidRPr="001E0AFE" w:rsidRDefault="0056215F" w:rsidP="0056215F">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footnote>
  <w:footnote w:id="113">
    <w:p w14:paraId="0CB1476A" w14:textId="77777777" w:rsidR="000A5BFC" w:rsidRDefault="000A5BFC">
      <w:pPr>
        <w:pStyle w:val="FootnoteText"/>
      </w:pPr>
    </w:p>
    <w:p w14:paraId="19A5685C" w14:textId="7D564D35" w:rsidR="000A5BFC" w:rsidRDefault="000A5BFC" w:rsidP="000A5BFC">
      <w:pPr>
        <w:pStyle w:val="FootnoteText"/>
        <w:ind w:firstLine="720"/>
      </w:pPr>
      <w:r>
        <w:rPr>
          <w:rStyle w:val="FootnoteReference"/>
        </w:rPr>
        <w:footnoteRef/>
      </w:r>
      <w:r>
        <w:t xml:space="preserve"> Ibid.</w:t>
      </w:r>
    </w:p>
  </w:footnote>
  <w:footnote w:id="114">
    <w:p w14:paraId="1F6CE74D" w14:textId="366C27F2" w:rsidR="0056215F" w:rsidRPr="00484709" w:rsidRDefault="0056215F" w:rsidP="0056215F">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100.</w:t>
      </w:r>
    </w:p>
    <w:p w14:paraId="11D88857" w14:textId="77777777" w:rsidR="00BC2BAD" w:rsidRPr="00484709" w:rsidRDefault="00BC2BAD" w:rsidP="0056215F">
      <w:pPr>
        <w:pStyle w:val="FootnoteText"/>
        <w:ind w:firstLine="720"/>
        <w:rPr>
          <w:rFonts w:ascii="Times New Roman" w:hAnsi="Times New Roman" w:cs="Times New Roman"/>
        </w:rPr>
      </w:pPr>
    </w:p>
  </w:footnote>
  <w:footnote w:id="115">
    <w:p w14:paraId="0905B144" w14:textId="6D24C1A0" w:rsidR="00546B43" w:rsidRPr="001E0AFE" w:rsidRDefault="00546B43" w:rsidP="00546B4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Joseph S. Exell, </w:t>
      </w:r>
      <w:r w:rsidRPr="001E0AFE">
        <w:rPr>
          <w:rFonts w:ascii="Times New Roman" w:hAnsi="Times New Roman" w:cs="Times New Roman"/>
          <w:i/>
          <w:iCs/>
          <w:color w:val="0D0D14"/>
          <w:lang w:bidi="he-IL"/>
        </w:rPr>
        <w:t>The Biblical Illustrator: Philippians–Colossians</w:t>
      </w:r>
      <w:r w:rsidRPr="001E0AFE">
        <w:rPr>
          <w:rFonts w:ascii="Times New Roman" w:hAnsi="Times New Roman" w:cs="Times New Roman"/>
          <w:color w:val="0D0D14"/>
          <w:lang w:bidi="he-IL"/>
        </w:rPr>
        <w:t>, vol. 1 (New York; Chicago; Toronto; London; Edinburgh: Fleming H. Revell Company, n.d.), 84.</w:t>
      </w:r>
    </w:p>
  </w:footnote>
  <w:footnote w:id="116">
    <w:p w14:paraId="749ADA61" w14:textId="58D73407" w:rsidR="00546B43" w:rsidRPr="001E0AFE" w:rsidRDefault="00546B43" w:rsidP="00546B4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Fee, </w:t>
      </w:r>
      <w:r w:rsidRPr="001E0AFE">
        <w:rPr>
          <w:rStyle w:val="Emphasis"/>
          <w:rFonts w:ascii="Times New Roman" w:hAnsi="Times New Roman" w:cs="Times New Roman"/>
        </w:rPr>
        <w:t>Paul’s Letter to the Philippians</w:t>
      </w:r>
      <w:r w:rsidRPr="001E0AFE">
        <w:rPr>
          <w:rFonts w:ascii="Times New Roman" w:hAnsi="Times New Roman" w:cs="Times New Roman"/>
        </w:rPr>
        <w:t>, 190.</w:t>
      </w:r>
    </w:p>
  </w:footnote>
  <w:footnote w:id="117">
    <w:p w14:paraId="7164FD79" w14:textId="11C6630E" w:rsidR="00546B43" w:rsidRPr="001E0AFE" w:rsidRDefault="00546B43" w:rsidP="00546B4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Fee, </w:t>
      </w:r>
      <w:r w:rsidRPr="001E0AFE">
        <w:rPr>
          <w:rStyle w:val="Emphasis"/>
          <w:rFonts w:ascii="Times New Roman" w:hAnsi="Times New Roman" w:cs="Times New Roman"/>
        </w:rPr>
        <w:t>Philippians</w:t>
      </w:r>
      <w:r w:rsidRPr="001E0AFE">
        <w:rPr>
          <w:rFonts w:ascii="Times New Roman" w:hAnsi="Times New Roman" w:cs="Times New Roman"/>
        </w:rPr>
        <w:t>, 89.</w:t>
      </w:r>
    </w:p>
  </w:footnote>
  <w:footnote w:id="118">
    <w:p w14:paraId="5EBC1393" w14:textId="77777777" w:rsidR="00546B43" w:rsidRPr="001E0AFE" w:rsidRDefault="00546B43">
      <w:pPr>
        <w:pStyle w:val="FootnoteText"/>
        <w:rPr>
          <w:rFonts w:ascii="Times New Roman" w:hAnsi="Times New Roman" w:cs="Times New Roman"/>
        </w:rPr>
      </w:pPr>
    </w:p>
    <w:p w14:paraId="6401D86D" w14:textId="4D807F10" w:rsidR="00546B43" w:rsidRPr="001E0AFE" w:rsidRDefault="00546B43" w:rsidP="00546B4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Fee, </w:t>
      </w:r>
      <w:r w:rsidRPr="001E0AFE">
        <w:rPr>
          <w:rStyle w:val="Emphasis"/>
          <w:rFonts w:ascii="Times New Roman" w:hAnsi="Times New Roman" w:cs="Times New Roman"/>
        </w:rPr>
        <w:t>Paul’s Letter to the Philippians</w:t>
      </w:r>
      <w:r w:rsidRPr="001E0AFE">
        <w:rPr>
          <w:rFonts w:ascii="Times New Roman" w:hAnsi="Times New Roman" w:cs="Times New Roman"/>
        </w:rPr>
        <w:t>, 199.</w:t>
      </w:r>
    </w:p>
    <w:p w14:paraId="6E32858F" w14:textId="35D8AB7C" w:rsidR="00546B43" w:rsidRPr="001E0AFE" w:rsidRDefault="00546B43" w:rsidP="00546B43">
      <w:pPr>
        <w:pStyle w:val="FootnoteText"/>
        <w:ind w:firstLine="720"/>
        <w:rPr>
          <w:rFonts w:ascii="Times New Roman" w:hAnsi="Times New Roman" w:cs="Times New Roman"/>
        </w:rPr>
      </w:pPr>
    </w:p>
  </w:footnote>
  <w:footnote w:id="119">
    <w:p w14:paraId="53D17E68" w14:textId="6B28964C" w:rsidR="005A6C86" w:rsidRPr="001E0AFE" w:rsidRDefault="005A6C86" w:rsidP="005A6C8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An Exegetical Summary of Philippians</w:t>
      </w:r>
      <w:r w:rsidRPr="001E0AFE">
        <w:rPr>
          <w:rFonts w:ascii="Times New Roman" w:hAnsi="Times New Roman" w:cs="Times New Roman"/>
          <w:color w:val="0D0D14"/>
          <w:lang w:bidi="he-IL"/>
        </w:rPr>
        <w:t>, 93.</w:t>
      </w:r>
    </w:p>
  </w:footnote>
  <w:footnote w:id="120">
    <w:p w14:paraId="68EEFD7C" w14:textId="0C3DBA20" w:rsidR="00546B43" w:rsidRPr="001E0AFE" w:rsidRDefault="00546B43" w:rsidP="00546B43">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5A6C86" w:rsidRPr="001E0AFE">
        <w:rPr>
          <w:rFonts w:ascii="Times New Roman" w:hAnsi="Times New Roman" w:cs="Times New Roman"/>
          <w:color w:val="0D0D14"/>
          <w:lang w:bidi="he-IL"/>
        </w:rPr>
        <w:t xml:space="preserve">Hellerman, </w:t>
      </w:r>
      <w:r w:rsidR="005A6C86" w:rsidRPr="001E0AFE">
        <w:rPr>
          <w:rFonts w:ascii="Times New Roman" w:hAnsi="Times New Roman" w:cs="Times New Roman"/>
          <w:i/>
          <w:iCs/>
          <w:color w:val="0D0D14"/>
          <w:lang w:bidi="he-IL"/>
        </w:rPr>
        <w:t>Philippians</w:t>
      </w:r>
      <w:r w:rsidR="005A6C86" w:rsidRPr="001E0AFE">
        <w:rPr>
          <w:rFonts w:ascii="Times New Roman" w:hAnsi="Times New Roman" w:cs="Times New Roman"/>
          <w:color w:val="0D0D14"/>
          <w:lang w:bidi="he-IL"/>
        </w:rPr>
        <w:t>, 107.</w:t>
      </w:r>
    </w:p>
  </w:footnote>
  <w:footnote w:id="121">
    <w:p w14:paraId="7049DC17" w14:textId="77777777" w:rsidR="005A6C86" w:rsidRPr="001E0AFE" w:rsidRDefault="005A6C86">
      <w:pPr>
        <w:pStyle w:val="FootnoteText"/>
        <w:rPr>
          <w:rFonts w:ascii="Times New Roman" w:hAnsi="Times New Roman" w:cs="Times New Roman"/>
        </w:rPr>
      </w:pPr>
    </w:p>
    <w:p w14:paraId="0133BFE9" w14:textId="719FAFAC" w:rsidR="005A6C86" w:rsidRPr="001E0AFE" w:rsidRDefault="005A6C86" w:rsidP="005A6C86">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224331" w:rsidRPr="001E0AFE">
        <w:rPr>
          <w:rFonts w:ascii="Times New Roman" w:hAnsi="Times New Roman" w:cs="Times New Roman"/>
          <w:color w:val="0D0D14"/>
          <w:lang w:bidi="he-IL"/>
        </w:rPr>
        <w:t xml:space="preserve">Fee, </w:t>
      </w:r>
      <w:r w:rsidR="00224331" w:rsidRPr="001E0AFE">
        <w:rPr>
          <w:rFonts w:ascii="Times New Roman" w:hAnsi="Times New Roman" w:cs="Times New Roman"/>
          <w:i/>
          <w:iCs/>
          <w:color w:val="0D0D14"/>
          <w:lang w:bidi="he-IL"/>
        </w:rPr>
        <w:t>Paul’s Letter to the Philippians</w:t>
      </w:r>
      <w:r w:rsidR="00224331" w:rsidRPr="001E0AFE">
        <w:rPr>
          <w:rFonts w:ascii="Times New Roman" w:hAnsi="Times New Roman" w:cs="Times New Roman"/>
          <w:color w:val="0D0D14"/>
          <w:lang w:bidi="he-IL"/>
        </w:rPr>
        <w:t>, 199.</w:t>
      </w:r>
    </w:p>
  </w:footnote>
  <w:footnote w:id="122">
    <w:p w14:paraId="7DE9BFAD" w14:textId="77777777" w:rsidR="00224331" w:rsidRPr="001E0AFE" w:rsidRDefault="00224331">
      <w:pPr>
        <w:pStyle w:val="FootnoteText"/>
        <w:rPr>
          <w:rFonts w:ascii="Times New Roman" w:hAnsi="Times New Roman" w:cs="Times New Roman"/>
        </w:rPr>
      </w:pPr>
    </w:p>
    <w:p w14:paraId="33F7E5AF" w14:textId="024BAFF7"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Richard R. Melick, </w:t>
      </w:r>
      <w:r w:rsidRPr="001E0AFE">
        <w:rPr>
          <w:rFonts w:ascii="Times New Roman" w:hAnsi="Times New Roman" w:cs="Times New Roman"/>
          <w:i/>
          <w:iCs/>
          <w:color w:val="0D0D14"/>
          <w:lang w:bidi="he-IL"/>
        </w:rPr>
        <w:t>Philippians, Colossians, Philemon</w:t>
      </w:r>
      <w:r w:rsidRPr="001E0AFE">
        <w:rPr>
          <w:rFonts w:ascii="Times New Roman" w:hAnsi="Times New Roman" w:cs="Times New Roman"/>
          <w:color w:val="0D0D14"/>
          <w:lang w:bidi="he-IL"/>
        </w:rPr>
        <w:t>, vol. 32, The New American Commentary (Nashville: Broadman &amp; Holman Publishers, 1991), 100.</w:t>
      </w:r>
    </w:p>
  </w:footnote>
  <w:footnote w:id="123">
    <w:p w14:paraId="3FE64E0E" w14:textId="2E6A8EEF"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Moule, </w:t>
      </w:r>
      <w:r w:rsidRPr="001E0AFE">
        <w:rPr>
          <w:rStyle w:val="Emphasis"/>
          <w:rFonts w:ascii="Times New Roman" w:hAnsi="Times New Roman" w:cs="Times New Roman"/>
        </w:rPr>
        <w:t>The Epistle to the Philippians</w:t>
      </w:r>
      <w:r w:rsidRPr="001E0AFE">
        <w:rPr>
          <w:rFonts w:ascii="Times New Roman" w:hAnsi="Times New Roman" w:cs="Times New Roman"/>
        </w:rPr>
        <w:t>, 63.</w:t>
      </w:r>
    </w:p>
  </w:footnote>
  <w:footnote w:id="124">
    <w:p w14:paraId="3EC3AD4E" w14:textId="77777777" w:rsidR="00224331" w:rsidRPr="001E0AFE" w:rsidRDefault="00224331">
      <w:pPr>
        <w:pStyle w:val="FootnoteText"/>
        <w:rPr>
          <w:rFonts w:ascii="Times New Roman" w:hAnsi="Times New Roman" w:cs="Times New Roman"/>
        </w:rPr>
      </w:pPr>
    </w:p>
    <w:p w14:paraId="453FBF42" w14:textId="6E57107D"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Robert Jamieson, A. R. Fausset, and David Brown, </w:t>
      </w:r>
      <w:r w:rsidRPr="001E0AFE">
        <w:rPr>
          <w:rFonts w:ascii="Times New Roman" w:hAnsi="Times New Roman" w:cs="Times New Roman"/>
          <w:i/>
          <w:iCs/>
          <w:color w:val="0D0D14"/>
          <w:lang w:bidi="he-IL"/>
        </w:rPr>
        <w:t>Commentary Critical and Explanatory on the Whole Bible</w:t>
      </w:r>
      <w:r w:rsidRPr="001E0AFE">
        <w:rPr>
          <w:rFonts w:ascii="Times New Roman" w:hAnsi="Times New Roman" w:cs="Times New Roman"/>
          <w:color w:val="0D0D14"/>
          <w:lang w:bidi="he-IL"/>
        </w:rPr>
        <w:t>, vol. 2 (Oak Harbor, WA: Logos Research Systems, Inc., 1997), 363.</w:t>
      </w:r>
    </w:p>
  </w:footnote>
  <w:footnote w:id="125">
    <w:p w14:paraId="21F904F7" w14:textId="6FA22C49"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Daniel B. Wallace, </w:t>
      </w:r>
      <w:r w:rsidRPr="001E0AFE">
        <w:rPr>
          <w:rFonts w:ascii="Times New Roman" w:hAnsi="Times New Roman" w:cs="Times New Roman"/>
          <w:i/>
          <w:iCs/>
          <w:color w:val="0D0D14"/>
          <w:lang w:bidi="he-IL"/>
        </w:rPr>
        <w:t>Greek Grammar Beyond the Basics</w:t>
      </w:r>
      <w:r w:rsidRPr="001E0AFE">
        <w:rPr>
          <w:rFonts w:ascii="Times New Roman" w:hAnsi="Times New Roman" w:cs="Times New Roman"/>
          <w:color w:val="0D0D14"/>
          <w:lang w:bidi="he-IL"/>
        </w:rPr>
        <w:t>, 634.</w:t>
      </w:r>
    </w:p>
  </w:footnote>
  <w:footnote w:id="126">
    <w:p w14:paraId="44A4D1D1" w14:textId="77777777" w:rsidR="00224331" w:rsidRPr="001E0AFE" w:rsidRDefault="00224331">
      <w:pPr>
        <w:pStyle w:val="FootnoteText"/>
        <w:rPr>
          <w:rFonts w:ascii="Times New Roman" w:hAnsi="Times New Roman" w:cs="Times New Roman"/>
        </w:rPr>
      </w:pPr>
    </w:p>
    <w:p w14:paraId="70FE065D" w14:textId="135CC52A"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W. Foerster, “ἁρπαγμός,” in </w:t>
      </w:r>
      <w:r w:rsidRPr="001E0AFE">
        <w:rPr>
          <w:rFonts w:ascii="Times New Roman" w:hAnsi="Times New Roman" w:cs="Times New Roman"/>
          <w:i/>
          <w:iCs/>
          <w:color w:val="0D0D14"/>
          <w:lang w:bidi="he-IL"/>
        </w:rPr>
        <w:t>TDNT</w:t>
      </w:r>
      <w:r w:rsidRPr="001E0AFE">
        <w:rPr>
          <w:rFonts w:ascii="Times New Roman" w:hAnsi="Times New Roman" w:cs="Times New Roman"/>
          <w:color w:val="0D0D14"/>
          <w:lang w:bidi="he-IL"/>
        </w:rPr>
        <w:t>, 1:474.</w:t>
      </w:r>
    </w:p>
  </w:footnote>
  <w:footnote w:id="127">
    <w:p w14:paraId="4EC364E3" w14:textId="77777777" w:rsidR="00224331" w:rsidRPr="001E0AFE" w:rsidRDefault="00224331">
      <w:pPr>
        <w:pStyle w:val="FootnoteText"/>
        <w:rPr>
          <w:rFonts w:ascii="Times New Roman" w:hAnsi="Times New Roman" w:cs="Times New Roman"/>
        </w:rPr>
      </w:pPr>
    </w:p>
    <w:p w14:paraId="744365DF" w14:textId="304D4D3A" w:rsidR="00224331" w:rsidRPr="00484709" w:rsidRDefault="00224331" w:rsidP="00224331">
      <w:pPr>
        <w:pStyle w:val="FootnoteText"/>
        <w:ind w:firstLine="72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Wallace, </w:t>
      </w:r>
      <w:r w:rsidRPr="001E0AFE">
        <w:rPr>
          <w:rFonts w:ascii="Times New Roman" w:hAnsi="Times New Roman" w:cs="Times New Roman"/>
          <w:i/>
          <w:iCs/>
          <w:color w:val="0D0D14"/>
          <w:lang w:bidi="he-IL"/>
        </w:rPr>
        <w:t>Greek Grammar Beyond the Basics</w:t>
      </w:r>
      <w:r w:rsidRPr="001E0AFE">
        <w:rPr>
          <w:rFonts w:ascii="Times New Roman" w:hAnsi="Times New Roman" w:cs="Times New Roman"/>
          <w:color w:val="0D0D14"/>
          <w:lang w:bidi="he-IL"/>
        </w:rPr>
        <w:t>, 635.</w:t>
      </w:r>
    </w:p>
    <w:p w14:paraId="67230986" w14:textId="77777777" w:rsidR="00BC2BAD" w:rsidRPr="00484709" w:rsidRDefault="00BC2BAD" w:rsidP="00224331">
      <w:pPr>
        <w:pStyle w:val="FootnoteText"/>
        <w:ind w:firstLine="720"/>
        <w:rPr>
          <w:rFonts w:ascii="Times New Roman" w:hAnsi="Times New Roman" w:cs="Times New Roman"/>
        </w:rPr>
      </w:pPr>
    </w:p>
  </w:footnote>
  <w:footnote w:id="128">
    <w:p w14:paraId="44A93BAA" w14:textId="6D94A73E" w:rsidR="00224331" w:rsidRPr="001E0AFE"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Greenlee, </w:t>
      </w:r>
      <w:r w:rsidRPr="001E0AFE">
        <w:rPr>
          <w:rStyle w:val="Emphasis"/>
          <w:rFonts w:ascii="Times New Roman" w:hAnsi="Times New Roman" w:cs="Times New Roman"/>
        </w:rPr>
        <w:t>An Exegetical Summary of Philippians</w:t>
      </w:r>
      <w:r w:rsidRPr="001E0AFE">
        <w:rPr>
          <w:rFonts w:ascii="Times New Roman" w:hAnsi="Times New Roman" w:cs="Times New Roman"/>
        </w:rPr>
        <w:t>, 95.</w:t>
      </w:r>
    </w:p>
  </w:footnote>
  <w:footnote w:id="129">
    <w:p w14:paraId="60DA3516" w14:textId="77777777" w:rsidR="00224331" w:rsidRPr="001E0AFE" w:rsidRDefault="00224331">
      <w:pPr>
        <w:pStyle w:val="FootnoteText"/>
        <w:rPr>
          <w:rFonts w:ascii="Times New Roman" w:hAnsi="Times New Roman" w:cs="Times New Roman"/>
        </w:rPr>
      </w:pPr>
    </w:p>
    <w:p w14:paraId="2D686E65" w14:textId="04E4F21A" w:rsidR="00224331" w:rsidRDefault="00224331" w:rsidP="00224331">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Ibid.</w:t>
      </w:r>
    </w:p>
    <w:p w14:paraId="5BC79F96" w14:textId="77777777" w:rsidR="000A5BFC" w:rsidRPr="001E0AFE" w:rsidRDefault="000A5BFC" w:rsidP="00224331">
      <w:pPr>
        <w:pStyle w:val="FootnoteText"/>
        <w:ind w:firstLine="720"/>
        <w:rPr>
          <w:rFonts w:ascii="Times New Roman" w:hAnsi="Times New Roman" w:cs="Times New Roman"/>
        </w:rPr>
      </w:pPr>
    </w:p>
  </w:footnote>
  <w:footnote w:id="130">
    <w:p w14:paraId="47639E57" w14:textId="73FE2EE3" w:rsidR="00224331" w:rsidRPr="00484709" w:rsidRDefault="00224331" w:rsidP="00BC2BAD">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Greenlee, </w:t>
      </w:r>
      <w:r w:rsidRPr="001E0AFE">
        <w:rPr>
          <w:rStyle w:val="Emphasis"/>
          <w:rFonts w:ascii="Times New Roman" w:hAnsi="Times New Roman" w:cs="Times New Roman"/>
        </w:rPr>
        <w:t>An Exegetical Summary of Philippians</w:t>
      </w:r>
      <w:r w:rsidRPr="001E0AFE">
        <w:rPr>
          <w:rFonts w:ascii="Times New Roman" w:hAnsi="Times New Roman" w:cs="Times New Roman"/>
        </w:rPr>
        <w:t>, 97-98</w:t>
      </w:r>
      <w:r w:rsidR="0099337C" w:rsidRPr="001E0AFE">
        <w:rPr>
          <w:rFonts w:ascii="Times New Roman" w:hAnsi="Times New Roman" w:cs="Times New Roman"/>
        </w:rPr>
        <w:t xml:space="preserve">. </w:t>
      </w:r>
    </w:p>
    <w:p w14:paraId="0D764BD7" w14:textId="77777777" w:rsidR="00E00B0C" w:rsidRPr="00484709" w:rsidRDefault="00E00B0C" w:rsidP="00224331">
      <w:pPr>
        <w:pStyle w:val="FootnoteText"/>
        <w:ind w:firstLine="720"/>
        <w:rPr>
          <w:rFonts w:ascii="Times New Roman" w:hAnsi="Times New Roman" w:cs="Times New Roman"/>
        </w:rPr>
      </w:pPr>
    </w:p>
  </w:footnote>
  <w:footnote w:id="131">
    <w:p w14:paraId="36DE0727" w14:textId="33F8C63F" w:rsidR="0099337C" w:rsidRPr="00BC2BAD" w:rsidRDefault="0099337C" w:rsidP="00E00B0C">
      <w:pPr>
        <w:pStyle w:val="FootnoteText"/>
        <w:ind w:firstLine="72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C2BAD">
        <w:rPr>
          <w:rFonts w:ascii="Times New Roman" w:hAnsi="Times New Roman" w:cs="Times New Roman"/>
          <w:color w:val="0D0D14"/>
          <w:lang w:val="el-GR" w:bidi="he-IL"/>
        </w:rPr>
        <w:t>Ι</w:t>
      </w:r>
      <w:r w:rsidR="00BC2BAD">
        <w:rPr>
          <w:rFonts w:ascii="Times New Roman" w:hAnsi="Times New Roman" w:cs="Times New Roman"/>
          <w:color w:val="0D0D14"/>
          <w:lang w:bidi="he-IL"/>
        </w:rPr>
        <w:t>bid.</w:t>
      </w:r>
    </w:p>
    <w:p w14:paraId="2E6C6F23" w14:textId="77777777" w:rsidR="0067397D" w:rsidRPr="001E0AFE" w:rsidRDefault="0067397D" w:rsidP="0067397D">
      <w:pPr>
        <w:pStyle w:val="FootnoteText"/>
        <w:ind w:firstLine="360"/>
        <w:rPr>
          <w:rFonts w:ascii="Times New Roman" w:hAnsi="Times New Roman" w:cs="Times New Roman"/>
        </w:rPr>
      </w:pPr>
    </w:p>
  </w:footnote>
  <w:footnote w:id="132">
    <w:p w14:paraId="73F387A9" w14:textId="1F6EAD61" w:rsidR="0099337C" w:rsidRPr="007938E3" w:rsidRDefault="0099337C" w:rsidP="0099337C">
      <w:pPr>
        <w:tabs>
          <w:tab w:val="left" w:pos="220"/>
          <w:tab w:val="left" w:pos="720"/>
        </w:tabs>
        <w:autoSpaceDE w:val="0"/>
        <w:autoSpaceDN w:val="0"/>
        <w:adjustRightInd w:val="0"/>
        <w:spacing w:after="0" w:line="480" w:lineRule="auto"/>
        <w:ind w:left="360"/>
        <w:rPr>
          <w:rFonts w:ascii="Times New Roman" w:hAnsi="Times New Roman" w:cs="Times New Roman"/>
          <w:color w:val="0D0D14"/>
          <w:sz w:val="20"/>
          <w:szCs w:val="20"/>
          <w:lang w:bidi="he-IL"/>
        </w:rPr>
      </w:pPr>
      <w:r w:rsidRPr="001E0AFE">
        <w:rPr>
          <w:rStyle w:val="FootnoteReference"/>
          <w:rFonts w:ascii="Times New Roman" w:hAnsi="Times New Roman" w:cs="Times New Roman"/>
          <w:sz w:val="20"/>
          <w:szCs w:val="20"/>
        </w:rPr>
        <w:footnoteRef/>
      </w:r>
      <w:r w:rsidRPr="001E0AFE">
        <w:rPr>
          <w:rFonts w:ascii="Times New Roman" w:hAnsi="Times New Roman" w:cs="Times New Roman"/>
          <w:sz w:val="20"/>
          <w:szCs w:val="20"/>
        </w:rPr>
        <w:t xml:space="preserve"> </w:t>
      </w:r>
      <w:r w:rsidR="00BC2BAD" w:rsidRPr="001E0AFE">
        <w:rPr>
          <w:rFonts w:ascii="Times New Roman" w:hAnsi="Times New Roman" w:cs="Times New Roman"/>
          <w:color w:val="0D0D14"/>
          <w:sz w:val="20"/>
          <w:szCs w:val="20"/>
          <w:lang w:bidi="he-IL"/>
        </w:rPr>
        <w:t xml:space="preserve">Greenlee, </w:t>
      </w:r>
      <w:r w:rsidR="00BC2BAD" w:rsidRPr="001E0AFE">
        <w:rPr>
          <w:rFonts w:ascii="Times New Roman" w:hAnsi="Times New Roman" w:cs="Times New Roman"/>
          <w:i/>
          <w:iCs/>
          <w:color w:val="0D0D14"/>
          <w:sz w:val="20"/>
          <w:szCs w:val="20"/>
          <w:lang w:bidi="he-IL"/>
        </w:rPr>
        <w:t>Exegetical Summary</w:t>
      </w:r>
      <w:r w:rsidR="00BC2BAD" w:rsidRPr="001E0AFE">
        <w:rPr>
          <w:rFonts w:ascii="Times New Roman" w:hAnsi="Times New Roman" w:cs="Times New Roman"/>
          <w:color w:val="0D0D14"/>
          <w:sz w:val="20"/>
          <w:szCs w:val="20"/>
          <w:lang w:bidi="he-IL"/>
        </w:rPr>
        <w:t>, 97–98</w:t>
      </w:r>
      <w:r w:rsidR="00BC2BAD" w:rsidRPr="007938E3">
        <w:rPr>
          <w:rFonts w:ascii="Times New Roman" w:hAnsi="Times New Roman" w:cs="Times New Roman"/>
          <w:color w:val="0D0D14"/>
          <w:sz w:val="20"/>
          <w:szCs w:val="20"/>
          <w:lang w:bidi="he-IL"/>
        </w:rPr>
        <w:t>.</w:t>
      </w:r>
    </w:p>
  </w:footnote>
  <w:footnote w:id="133">
    <w:p w14:paraId="133CA2EB" w14:textId="138D6741" w:rsidR="0099337C" w:rsidRPr="001E0AFE" w:rsidRDefault="0099337C" w:rsidP="0099337C">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Roger Ellsworth, </w:t>
      </w:r>
      <w:r w:rsidRPr="001E0AFE">
        <w:rPr>
          <w:rStyle w:val="Emphasis"/>
          <w:rFonts w:ascii="Times New Roman" w:hAnsi="Times New Roman" w:cs="Times New Roman"/>
        </w:rPr>
        <w:t>Opening Up Philippians</w:t>
      </w:r>
      <w:r w:rsidRPr="001E0AFE">
        <w:rPr>
          <w:rFonts w:ascii="Times New Roman" w:hAnsi="Times New Roman" w:cs="Times New Roman"/>
        </w:rPr>
        <w:t xml:space="preserve"> (Leominster: Day One Publications, 2004), 37.</w:t>
      </w:r>
    </w:p>
  </w:footnote>
  <w:footnote w:id="134">
    <w:p w14:paraId="26E57F03" w14:textId="77777777" w:rsidR="00531A2C" w:rsidRPr="001E0AFE" w:rsidRDefault="00531A2C">
      <w:pPr>
        <w:pStyle w:val="FootnoteText"/>
        <w:rPr>
          <w:rFonts w:ascii="Times New Roman" w:hAnsi="Times New Roman" w:cs="Times New Roman"/>
        </w:rPr>
      </w:pPr>
    </w:p>
    <w:p w14:paraId="0BA35430" w14:textId="1B2067E7" w:rsidR="00531A2C" w:rsidRPr="00484709" w:rsidRDefault="00531A2C" w:rsidP="00531A2C">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Joseph H. 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112.</w:t>
      </w:r>
    </w:p>
    <w:p w14:paraId="5129590A" w14:textId="77777777" w:rsidR="00E00B0C" w:rsidRPr="00484709" w:rsidRDefault="00E00B0C" w:rsidP="00531A2C">
      <w:pPr>
        <w:pStyle w:val="FootnoteText"/>
        <w:ind w:firstLine="360"/>
        <w:rPr>
          <w:rFonts w:ascii="Times New Roman" w:hAnsi="Times New Roman" w:cs="Times New Roman"/>
        </w:rPr>
      </w:pPr>
    </w:p>
  </w:footnote>
  <w:footnote w:id="135">
    <w:p w14:paraId="1E3B55A1" w14:textId="0651D81B" w:rsidR="00531A2C" w:rsidRPr="001E0AFE" w:rsidRDefault="00531A2C" w:rsidP="0067397D">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BDAG, 539.</w:t>
      </w:r>
    </w:p>
  </w:footnote>
  <w:footnote w:id="136">
    <w:p w14:paraId="1C08BE49" w14:textId="77777777" w:rsidR="00531A2C" w:rsidRPr="001E0AFE" w:rsidRDefault="00531A2C">
      <w:pPr>
        <w:pStyle w:val="FootnoteText"/>
        <w:rPr>
          <w:rFonts w:ascii="Times New Roman" w:hAnsi="Times New Roman" w:cs="Times New Roman"/>
        </w:rPr>
      </w:pPr>
    </w:p>
    <w:p w14:paraId="4D90903C" w14:textId="553650EF" w:rsidR="00531A2C" w:rsidRDefault="00531A2C" w:rsidP="00531A2C">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Exegetical Summary</w:t>
      </w:r>
      <w:r w:rsidRPr="001E0AFE">
        <w:rPr>
          <w:rFonts w:ascii="Times New Roman" w:hAnsi="Times New Roman" w:cs="Times New Roman"/>
          <w:color w:val="0D0D14"/>
          <w:lang w:bidi="he-IL"/>
        </w:rPr>
        <w:t>, 98–99.</w:t>
      </w:r>
    </w:p>
    <w:p w14:paraId="05C7BE66" w14:textId="77777777" w:rsidR="0067397D" w:rsidRPr="001E0AFE" w:rsidRDefault="0067397D" w:rsidP="00531A2C">
      <w:pPr>
        <w:pStyle w:val="FootnoteText"/>
        <w:ind w:firstLine="360"/>
        <w:rPr>
          <w:rFonts w:ascii="Times New Roman" w:hAnsi="Times New Roman" w:cs="Times New Roman"/>
        </w:rPr>
      </w:pPr>
    </w:p>
  </w:footnote>
  <w:footnote w:id="137">
    <w:p w14:paraId="67415A6C" w14:textId="66C88129" w:rsidR="00531A2C" w:rsidRPr="001E0AFE" w:rsidRDefault="00531A2C" w:rsidP="00531A2C">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John D. Barry et al., </w:t>
      </w:r>
      <w:r w:rsidRPr="001E0AFE">
        <w:rPr>
          <w:rFonts w:ascii="Times New Roman" w:hAnsi="Times New Roman" w:cs="Times New Roman"/>
          <w:i/>
          <w:iCs/>
          <w:color w:val="0D0D14"/>
          <w:lang w:bidi="he-IL"/>
        </w:rPr>
        <w:t>Faithlife Study Bible</w:t>
      </w:r>
      <w:r w:rsidRPr="001E0AFE">
        <w:rPr>
          <w:rFonts w:ascii="Times New Roman" w:hAnsi="Times New Roman" w:cs="Times New Roman"/>
          <w:color w:val="0D0D14"/>
          <w:lang w:bidi="he-IL"/>
        </w:rPr>
        <w:t>, Phil 2:7.</w:t>
      </w:r>
    </w:p>
  </w:footnote>
  <w:footnote w:id="138">
    <w:p w14:paraId="36BF7602" w14:textId="77777777" w:rsidR="00531A2C" w:rsidRPr="001E0AFE" w:rsidRDefault="00531A2C">
      <w:pPr>
        <w:pStyle w:val="FootnoteText"/>
        <w:rPr>
          <w:rFonts w:ascii="Times New Roman" w:hAnsi="Times New Roman" w:cs="Times New Roman"/>
        </w:rPr>
      </w:pPr>
    </w:p>
    <w:p w14:paraId="12DB77DB" w14:textId="1EC6BCA3" w:rsidR="00531A2C" w:rsidRPr="001E0AFE" w:rsidRDefault="00531A2C" w:rsidP="00531A2C">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Silva, “Philippians,” 837.</w:t>
      </w:r>
    </w:p>
  </w:footnote>
  <w:footnote w:id="139">
    <w:p w14:paraId="698AFA4C" w14:textId="77777777" w:rsidR="00D47593" w:rsidRPr="001E0AFE" w:rsidRDefault="00D47593">
      <w:pPr>
        <w:pStyle w:val="FootnoteText"/>
        <w:rPr>
          <w:rFonts w:ascii="Times New Roman" w:hAnsi="Times New Roman" w:cs="Times New Roman"/>
        </w:rPr>
      </w:pPr>
    </w:p>
    <w:p w14:paraId="55202245" w14:textId="7393A728" w:rsidR="00D47593" w:rsidRDefault="00D47593" w:rsidP="00D47593">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Craig S. Keener, </w:t>
      </w:r>
      <w:r w:rsidRPr="001E0AFE">
        <w:rPr>
          <w:rFonts w:ascii="Times New Roman" w:hAnsi="Times New Roman" w:cs="Times New Roman"/>
          <w:i/>
          <w:iCs/>
          <w:color w:val="0D0D14"/>
          <w:lang w:bidi="he-IL"/>
        </w:rPr>
        <w:t>IVP Bible Background Commentary: New Testament</w:t>
      </w:r>
      <w:r w:rsidRPr="001E0AFE">
        <w:rPr>
          <w:rFonts w:ascii="Times New Roman" w:hAnsi="Times New Roman" w:cs="Times New Roman"/>
          <w:color w:val="0D0D14"/>
          <w:lang w:bidi="he-IL"/>
        </w:rPr>
        <w:t>, Phil 2:7.</w:t>
      </w:r>
    </w:p>
    <w:p w14:paraId="199E09D8" w14:textId="77777777" w:rsidR="0067397D" w:rsidRPr="001E0AFE" w:rsidRDefault="0067397D" w:rsidP="00D47593">
      <w:pPr>
        <w:pStyle w:val="FootnoteText"/>
        <w:ind w:firstLine="360"/>
        <w:rPr>
          <w:rFonts w:ascii="Times New Roman" w:hAnsi="Times New Roman" w:cs="Times New Roman"/>
        </w:rPr>
      </w:pPr>
    </w:p>
  </w:footnote>
  <w:footnote w:id="140">
    <w:p w14:paraId="755DF5E6" w14:textId="3B4D67D4" w:rsidR="00D47593" w:rsidRDefault="00D47593" w:rsidP="00621529">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Silva, “Philippians,” 837.</w:t>
      </w:r>
    </w:p>
    <w:p w14:paraId="187F4E82" w14:textId="77777777" w:rsidR="00621529" w:rsidRPr="001E0AFE" w:rsidRDefault="00621529" w:rsidP="00621529">
      <w:pPr>
        <w:pStyle w:val="FootnoteText"/>
        <w:ind w:firstLine="360"/>
        <w:rPr>
          <w:rFonts w:ascii="Times New Roman" w:hAnsi="Times New Roman" w:cs="Times New Roman"/>
        </w:rPr>
      </w:pPr>
    </w:p>
  </w:footnote>
  <w:footnote w:id="141">
    <w:p w14:paraId="57DFAD95" w14:textId="78016816" w:rsidR="00D47593" w:rsidRPr="00484709" w:rsidRDefault="00D47593" w:rsidP="00BC2BAD">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James E. Rosscup, </w:t>
      </w:r>
      <w:r w:rsidRPr="001E0AFE">
        <w:rPr>
          <w:rFonts w:ascii="Times New Roman" w:hAnsi="Times New Roman" w:cs="Times New Roman"/>
          <w:i/>
          <w:iCs/>
          <w:color w:val="0D0D14"/>
          <w:lang w:bidi="he-IL"/>
        </w:rPr>
        <w:t>An Exposition on Prayer in the Bible</w:t>
      </w:r>
      <w:r w:rsidRPr="001E0AFE">
        <w:rPr>
          <w:rFonts w:ascii="Times New Roman" w:hAnsi="Times New Roman" w:cs="Times New Roman"/>
          <w:color w:val="0D0D14"/>
          <w:lang w:bidi="he-IL"/>
        </w:rPr>
        <w:t>, 2287.</w:t>
      </w:r>
    </w:p>
    <w:p w14:paraId="31BA9B95" w14:textId="77777777" w:rsidR="00E00B0C" w:rsidRPr="00484709" w:rsidRDefault="00E00B0C" w:rsidP="00D47593">
      <w:pPr>
        <w:pStyle w:val="FootnoteText"/>
        <w:ind w:firstLine="360"/>
        <w:rPr>
          <w:rFonts w:ascii="Times New Roman" w:hAnsi="Times New Roman" w:cs="Times New Roman"/>
        </w:rPr>
      </w:pPr>
    </w:p>
  </w:footnote>
  <w:footnote w:id="142">
    <w:p w14:paraId="7FB3AA87" w14:textId="51AF9916" w:rsidR="00D47593" w:rsidRDefault="00D47593" w:rsidP="00D47593">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Harold W. Hoehner, Philip W. Comfort, and Peter H. Davids, </w:t>
      </w:r>
      <w:r w:rsidRPr="001E0AFE">
        <w:rPr>
          <w:rFonts w:ascii="Times New Roman" w:hAnsi="Times New Roman" w:cs="Times New Roman"/>
          <w:i/>
          <w:iCs/>
          <w:color w:val="0D0D14"/>
          <w:lang w:bidi="he-IL"/>
        </w:rPr>
        <w:t>Cornerstone Biblical Commentary</w:t>
      </w:r>
      <w:r w:rsidRPr="001E0AFE">
        <w:rPr>
          <w:rFonts w:ascii="Times New Roman" w:hAnsi="Times New Roman" w:cs="Times New Roman"/>
          <w:color w:val="0D0D14"/>
          <w:lang w:bidi="he-IL"/>
        </w:rPr>
        <w:t>, 170.</w:t>
      </w:r>
    </w:p>
    <w:p w14:paraId="2E17F056" w14:textId="77777777" w:rsidR="0067397D" w:rsidRPr="001E0AFE" w:rsidRDefault="0067397D" w:rsidP="00D47593">
      <w:pPr>
        <w:pStyle w:val="FootnoteText"/>
        <w:ind w:firstLine="360"/>
        <w:rPr>
          <w:rFonts w:ascii="Times New Roman" w:hAnsi="Times New Roman" w:cs="Times New Roman"/>
        </w:rPr>
      </w:pPr>
    </w:p>
  </w:footnote>
  <w:footnote w:id="143">
    <w:p w14:paraId="7BB877B0" w14:textId="403BBAAF" w:rsidR="00D47593" w:rsidRPr="001E0AFE" w:rsidRDefault="00D47593" w:rsidP="00D47593">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Albert Barnes and Robert Frew, </w:t>
      </w:r>
      <w:r w:rsidRPr="001E0AFE">
        <w:rPr>
          <w:rFonts w:ascii="Times New Roman" w:hAnsi="Times New Roman" w:cs="Times New Roman"/>
          <w:i/>
          <w:iCs/>
          <w:color w:val="0D0D14"/>
          <w:lang w:bidi="he-IL"/>
        </w:rPr>
        <w:t>Notes on the New Testament: Philippians, Colossians, and Philemon</w:t>
      </w:r>
      <w:r w:rsidRPr="001E0AFE">
        <w:rPr>
          <w:rFonts w:ascii="Times New Roman" w:hAnsi="Times New Roman" w:cs="Times New Roman"/>
          <w:color w:val="0D0D14"/>
          <w:lang w:bidi="he-IL"/>
        </w:rPr>
        <w:t>, 59.</w:t>
      </w:r>
    </w:p>
  </w:footnote>
  <w:footnote w:id="144">
    <w:p w14:paraId="599DF22C" w14:textId="0567A168" w:rsidR="00D47593" w:rsidRPr="001E0AFE" w:rsidRDefault="00D47593" w:rsidP="00D47593">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Greenlee, </w:t>
      </w:r>
      <w:r w:rsidRPr="001E0AFE">
        <w:rPr>
          <w:rStyle w:val="Emphasis"/>
          <w:rFonts w:ascii="Times New Roman" w:hAnsi="Times New Roman" w:cs="Times New Roman"/>
        </w:rPr>
        <w:t>An Exegetical Summary of Philippians</w:t>
      </w:r>
      <w:r w:rsidRPr="001E0AFE">
        <w:rPr>
          <w:rFonts w:ascii="Times New Roman" w:hAnsi="Times New Roman" w:cs="Times New Roman"/>
        </w:rPr>
        <w:t>, 104.</w:t>
      </w:r>
    </w:p>
  </w:footnote>
  <w:footnote w:id="145">
    <w:p w14:paraId="1164FDFE" w14:textId="77777777" w:rsidR="00D47593" w:rsidRPr="001E0AFE" w:rsidRDefault="00D47593">
      <w:pPr>
        <w:pStyle w:val="FootnoteText"/>
        <w:rPr>
          <w:rFonts w:ascii="Times New Roman" w:hAnsi="Times New Roman" w:cs="Times New Roman"/>
        </w:rPr>
      </w:pPr>
    </w:p>
    <w:p w14:paraId="2160A00D" w14:textId="49BA2557" w:rsidR="00D47593" w:rsidRPr="001E0AFE" w:rsidRDefault="00D47593" w:rsidP="00D47593">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B37EDA" w:rsidRPr="001E0AFE">
        <w:rPr>
          <w:rFonts w:ascii="Times New Roman" w:hAnsi="Times New Roman" w:cs="Times New Roman"/>
        </w:rPr>
        <w:t xml:space="preserve">Fee, </w:t>
      </w:r>
      <w:r w:rsidR="00B37EDA" w:rsidRPr="001E0AFE">
        <w:rPr>
          <w:rStyle w:val="Emphasis"/>
          <w:rFonts w:ascii="Times New Roman" w:hAnsi="Times New Roman" w:cs="Times New Roman"/>
        </w:rPr>
        <w:t>Paul’s Letter to the Philippians</w:t>
      </w:r>
      <w:r w:rsidR="00B37EDA" w:rsidRPr="001E0AFE">
        <w:rPr>
          <w:rFonts w:ascii="Times New Roman" w:hAnsi="Times New Roman" w:cs="Times New Roman"/>
        </w:rPr>
        <w:t>, 216.</w:t>
      </w:r>
    </w:p>
  </w:footnote>
  <w:footnote w:id="146">
    <w:p w14:paraId="47C06EA2" w14:textId="77777777" w:rsidR="00B37EDA" w:rsidRPr="001E0AFE" w:rsidRDefault="00B37EDA">
      <w:pPr>
        <w:pStyle w:val="FootnoteText"/>
        <w:rPr>
          <w:rFonts w:ascii="Times New Roman" w:hAnsi="Times New Roman" w:cs="Times New Roman"/>
        </w:rPr>
      </w:pPr>
    </w:p>
    <w:p w14:paraId="69673981" w14:textId="7745ABA0"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Joseph H. Hellerman, </w:t>
      </w:r>
      <w:r w:rsidRPr="001E0AFE">
        <w:rPr>
          <w:rFonts w:ascii="Times New Roman" w:hAnsi="Times New Roman" w:cs="Times New Roman"/>
          <w:i/>
          <w:iCs/>
          <w:color w:val="0D0D14"/>
          <w:lang w:bidi="he-IL"/>
        </w:rPr>
        <w:t>Philippians</w:t>
      </w:r>
      <w:r w:rsidRPr="001E0AFE">
        <w:rPr>
          <w:rFonts w:ascii="Times New Roman" w:hAnsi="Times New Roman" w:cs="Times New Roman"/>
          <w:color w:val="0D0D14"/>
          <w:lang w:bidi="he-IL"/>
        </w:rPr>
        <w:t>, 116.</w:t>
      </w:r>
    </w:p>
  </w:footnote>
  <w:footnote w:id="147">
    <w:p w14:paraId="000703BE" w14:textId="77777777" w:rsidR="00B37EDA" w:rsidRPr="001E0AFE" w:rsidRDefault="00B37EDA">
      <w:pPr>
        <w:pStyle w:val="FootnoteText"/>
        <w:rPr>
          <w:rFonts w:ascii="Times New Roman" w:hAnsi="Times New Roman" w:cs="Times New Roman"/>
        </w:rPr>
      </w:pPr>
    </w:p>
    <w:p w14:paraId="5536AC22" w14:textId="4377FB34"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Greenlee, </w:t>
      </w:r>
      <w:r w:rsidRPr="001E0AFE">
        <w:rPr>
          <w:rFonts w:ascii="Times New Roman" w:hAnsi="Times New Roman" w:cs="Times New Roman"/>
          <w:i/>
          <w:iCs/>
          <w:color w:val="0D0D14"/>
          <w:lang w:bidi="he-IL"/>
        </w:rPr>
        <w:t>Exegetical Summary</w:t>
      </w:r>
      <w:r w:rsidRPr="001E0AFE">
        <w:rPr>
          <w:rFonts w:ascii="Times New Roman" w:hAnsi="Times New Roman" w:cs="Times New Roman"/>
          <w:color w:val="0D0D14"/>
          <w:lang w:bidi="he-IL"/>
        </w:rPr>
        <w:t>, 104.</w:t>
      </w:r>
    </w:p>
  </w:footnote>
  <w:footnote w:id="148">
    <w:p w14:paraId="6CC00DE9" w14:textId="01FFA33A"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Melick, </w:t>
      </w:r>
      <w:r w:rsidRPr="001E0AFE">
        <w:rPr>
          <w:rStyle w:val="Emphasis"/>
          <w:rFonts w:ascii="Times New Roman" w:hAnsi="Times New Roman" w:cs="Times New Roman"/>
        </w:rPr>
        <w:t>Philippians, Colossians, Philemon</w:t>
      </w:r>
      <w:r w:rsidRPr="001E0AFE">
        <w:rPr>
          <w:rFonts w:ascii="Times New Roman" w:hAnsi="Times New Roman" w:cs="Times New Roman"/>
        </w:rPr>
        <w:t>, 105.</w:t>
      </w:r>
    </w:p>
  </w:footnote>
  <w:footnote w:id="149">
    <w:p w14:paraId="4706389E" w14:textId="77777777" w:rsidR="00B37EDA" w:rsidRPr="001E0AFE" w:rsidRDefault="00B37EDA">
      <w:pPr>
        <w:pStyle w:val="FootnoteText"/>
        <w:rPr>
          <w:rFonts w:ascii="Times New Roman" w:hAnsi="Times New Roman" w:cs="Times New Roman"/>
        </w:rPr>
      </w:pPr>
    </w:p>
    <w:p w14:paraId="5D7002D6" w14:textId="02E48744"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Fee, </w:t>
      </w:r>
      <w:r w:rsidRPr="001E0AFE">
        <w:rPr>
          <w:rStyle w:val="Emphasis"/>
          <w:rFonts w:ascii="Times New Roman" w:hAnsi="Times New Roman" w:cs="Times New Roman"/>
        </w:rPr>
        <w:t>Paul’s Letter to the Philippians</w:t>
      </w:r>
      <w:r w:rsidRPr="001E0AFE">
        <w:rPr>
          <w:rFonts w:ascii="Times New Roman" w:hAnsi="Times New Roman" w:cs="Times New Roman"/>
        </w:rPr>
        <w:t>, 222.</w:t>
      </w:r>
    </w:p>
  </w:footnote>
  <w:footnote w:id="150">
    <w:p w14:paraId="66A825DE" w14:textId="77777777" w:rsidR="00B37EDA" w:rsidRPr="001E0AFE" w:rsidRDefault="00B37EDA">
      <w:pPr>
        <w:pStyle w:val="FootnoteText"/>
        <w:rPr>
          <w:rFonts w:ascii="Times New Roman" w:hAnsi="Times New Roman" w:cs="Times New Roman"/>
        </w:rPr>
      </w:pPr>
    </w:p>
    <w:p w14:paraId="6DADD058" w14:textId="795F779F"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Melick, </w:t>
      </w:r>
      <w:r w:rsidRPr="001E0AFE">
        <w:rPr>
          <w:rFonts w:ascii="Times New Roman" w:hAnsi="Times New Roman" w:cs="Times New Roman"/>
          <w:i/>
          <w:iCs/>
          <w:color w:val="0D0D14"/>
          <w:lang w:bidi="he-IL"/>
        </w:rPr>
        <w:t>Philippians, Colossians, Philemon</w:t>
      </w:r>
      <w:r w:rsidRPr="001E0AFE">
        <w:rPr>
          <w:rFonts w:ascii="Times New Roman" w:hAnsi="Times New Roman" w:cs="Times New Roman"/>
          <w:color w:val="0D0D14"/>
          <w:lang w:bidi="he-IL"/>
        </w:rPr>
        <w:t>, 105.</w:t>
      </w:r>
    </w:p>
  </w:footnote>
  <w:footnote w:id="151">
    <w:p w14:paraId="0E90308F" w14:textId="5BC72D09" w:rsidR="00B37EDA" w:rsidRDefault="00B37EDA" w:rsidP="00BC2BAD">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Kent, “Philippians,” 125.</w:t>
      </w:r>
    </w:p>
    <w:p w14:paraId="5A71C51E" w14:textId="77777777" w:rsidR="0067397D" w:rsidRPr="001E0AFE" w:rsidRDefault="0067397D" w:rsidP="00B37EDA">
      <w:pPr>
        <w:pStyle w:val="FootnoteText"/>
        <w:ind w:firstLine="360"/>
        <w:rPr>
          <w:rFonts w:ascii="Times New Roman" w:hAnsi="Times New Roman" w:cs="Times New Roman"/>
        </w:rPr>
      </w:pPr>
    </w:p>
  </w:footnote>
  <w:footnote w:id="152">
    <w:p w14:paraId="4AE5E159" w14:textId="07B956B3"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Melick, </w:t>
      </w:r>
      <w:r w:rsidRPr="001E0AFE">
        <w:rPr>
          <w:rFonts w:ascii="Times New Roman" w:hAnsi="Times New Roman" w:cs="Times New Roman"/>
          <w:i/>
          <w:iCs/>
          <w:color w:val="0D0D14"/>
          <w:lang w:bidi="he-IL"/>
        </w:rPr>
        <w:t>Philippians, Colossians, Philemon</w:t>
      </w:r>
      <w:r w:rsidRPr="001E0AFE">
        <w:rPr>
          <w:rFonts w:ascii="Times New Roman" w:hAnsi="Times New Roman" w:cs="Times New Roman"/>
          <w:color w:val="0D0D14"/>
          <w:lang w:bidi="he-IL"/>
        </w:rPr>
        <w:t>, 106.</w:t>
      </w:r>
    </w:p>
  </w:footnote>
  <w:footnote w:id="153">
    <w:p w14:paraId="1053872D" w14:textId="77777777" w:rsidR="00B37EDA" w:rsidRPr="001E0AFE" w:rsidRDefault="00B37EDA" w:rsidP="00B37EDA">
      <w:pPr>
        <w:pStyle w:val="FootnoteText"/>
        <w:ind w:firstLine="360"/>
        <w:rPr>
          <w:rFonts w:ascii="Times New Roman" w:hAnsi="Times New Roman" w:cs="Times New Roman"/>
        </w:rPr>
      </w:pPr>
    </w:p>
    <w:p w14:paraId="411AE845" w14:textId="086FBE3A" w:rsidR="00B37EDA" w:rsidRPr="001E0AFE" w:rsidRDefault="00B37EDA" w:rsidP="00B37EDA">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4D4BEF" w:rsidRPr="001E0AFE">
        <w:rPr>
          <w:rFonts w:ascii="Times New Roman" w:hAnsi="Times New Roman" w:cs="Times New Roman"/>
        </w:rPr>
        <w:t xml:space="preserve">Wallace, </w:t>
      </w:r>
      <w:r w:rsidR="004D4BEF" w:rsidRPr="001E0AFE">
        <w:rPr>
          <w:rStyle w:val="Emphasis"/>
          <w:rFonts w:ascii="Times New Roman" w:hAnsi="Times New Roman" w:cs="Times New Roman"/>
        </w:rPr>
        <w:t>Greek Grammar Beyond the Basics</w:t>
      </w:r>
      <w:r w:rsidR="004D4BEF" w:rsidRPr="001E0AFE">
        <w:rPr>
          <w:rFonts w:ascii="Times New Roman" w:hAnsi="Times New Roman" w:cs="Times New Roman"/>
        </w:rPr>
        <w:t>, 473.</w:t>
      </w:r>
    </w:p>
  </w:footnote>
  <w:footnote w:id="154">
    <w:p w14:paraId="024001F8" w14:textId="6C983639" w:rsidR="004D4BEF" w:rsidRPr="001E0AFE" w:rsidRDefault="004D4BEF" w:rsidP="004D4BEF">
      <w:pPr>
        <w:pStyle w:val="FootnoteText"/>
        <w:tabs>
          <w:tab w:val="left" w:pos="1953"/>
        </w:tabs>
        <w:rPr>
          <w:rFonts w:ascii="Times New Roman" w:hAnsi="Times New Roman" w:cs="Times New Roman"/>
        </w:rPr>
      </w:pPr>
      <w:r w:rsidRPr="001E0AFE">
        <w:rPr>
          <w:rFonts w:ascii="Times New Roman" w:hAnsi="Times New Roman" w:cs="Times New Roman"/>
        </w:rPr>
        <w:tab/>
      </w:r>
    </w:p>
    <w:p w14:paraId="036226A8" w14:textId="3566D794" w:rsidR="004D4BEF" w:rsidRPr="001E0AFE" w:rsidRDefault="004D4BEF" w:rsidP="004D4BEF">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Silva, “Philippians,” 838.</w:t>
      </w:r>
    </w:p>
  </w:footnote>
  <w:footnote w:id="155">
    <w:p w14:paraId="3C83B091" w14:textId="77777777" w:rsidR="004D4BEF" w:rsidRPr="001E0AFE" w:rsidRDefault="004D4BEF">
      <w:pPr>
        <w:pStyle w:val="FootnoteText"/>
        <w:rPr>
          <w:rFonts w:ascii="Times New Roman" w:hAnsi="Times New Roman" w:cs="Times New Roman"/>
        </w:rPr>
      </w:pPr>
    </w:p>
    <w:p w14:paraId="014F2017" w14:textId="1E72E34F" w:rsidR="004D4BEF" w:rsidRDefault="004D4BEF" w:rsidP="004D4BEF">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Wallace, </w:t>
      </w:r>
      <w:r w:rsidRPr="001E0AFE">
        <w:rPr>
          <w:rFonts w:ascii="Times New Roman" w:hAnsi="Times New Roman" w:cs="Times New Roman"/>
          <w:i/>
          <w:iCs/>
          <w:color w:val="0D0D14"/>
          <w:lang w:bidi="he-IL"/>
        </w:rPr>
        <w:t>Greek Grammar Beyond the Basics</w:t>
      </w:r>
      <w:r w:rsidRPr="001E0AFE">
        <w:rPr>
          <w:rFonts w:ascii="Times New Roman" w:hAnsi="Times New Roman" w:cs="Times New Roman"/>
          <w:color w:val="0D0D14"/>
          <w:lang w:bidi="he-IL"/>
        </w:rPr>
        <w:t>, 474.</w:t>
      </w:r>
    </w:p>
    <w:p w14:paraId="00DD62BE" w14:textId="77777777" w:rsidR="0067397D" w:rsidRPr="001E0AFE" w:rsidRDefault="0067397D" w:rsidP="004D4BEF">
      <w:pPr>
        <w:pStyle w:val="FootnoteText"/>
        <w:ind w:firstLine="360"/>
        <w:rPr>
          <w:rFonts w:ascii="Times New Roman" w:hAnsi="Times New Roman" w:cs="Times New Roman"/>
        </w:rPr>
      </w:pPr>
    </w:p>
  </w:footnote>
  <w:footnote w:id="156">
    <w:p w14:paraId="0D01B791" w14:textId="5BC81DFE" w:rsidR="004D4BEF" w:rsidRPr="001E0AFE" w:rsidRDefault="004D4BEF" w:rsidP="0044269F">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Silva, “Philippians,” 838.</w:t>
      </w:r>
    </w:p>
    <w:p w14:paraId="51FA4902" w14:textId="77777777" w:rsidR="0044269F" w:rsidRPr="001E0AFE" w:rsidRDefault="0044269F" w:rsidP="0044269F">
      <w:pPr>
        <w:pStyle w:val="FootnoteText"/>
        <w:ind w:firstLine="360"/>
        <w:rPr>
          <w:rFonts w:ascii="Times New Roman" w:hAnsi="Times New Roman" w:cs="Times New Roman"/>
        </w:rPr>
      </w:pPr>
    </w:p>
  </w:footnote>
  <w:footnote w:id="157">
    <w:p w14:paraId="5285F8F3" w14:textId="19016361" w:rsidR="004D4BEF" w:rsidRPr="00484709" w:rsidRDefault="004D4BEF" w:rsidP="004D4BEF">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Greenlee, </w:t>
      </w:r>
      <w:r w:rsidRPr="001E0AFE">
        <w:rPr>
          <w:rStyle w:val="Emphasis"/>
          <w:rFonts w:ascii="Times New Roman" w:hAnsi="Times New Roman" w:cs="Times New Roman"/>
        </w:rPr>
        <w:t>An Exegetical Summary of Philippians</w:t>
      </w:r>
      <w:r w:rsidRPr="001E0AFE">
        <w:rPr>
          <w:rFonts w:ascii="Times New Roman" w:hAnsi="Times New Roman" w:cs="Times New Roman"/>
        </w:rPr>
        <w:t>, 108–9.</w:t>
      </w:r>
    </w:p>
    <w:p w14:paraId="04966B38" w14:textId="77777777" w:rsidR="00931C0F" w:rsidRPr="00484709" w:rsidRDefault="00931C0F" w:rsidP="004D4BEF">
      <w:pPr>
        <w:pStyle w:val="FootnoteText"/>
        <w:ind w:firstLine="360"/>
        <w:rPr>
          <w:rFonts w:ascii="Times New Roman" w:hAnsi="Times New Roman" w:cs="Times New Roman"/>
        </w:rPr>
      </w:pPr>
    </w:p>
  </w:footnote>
  <w:footnote w:id="158">
    <w:p w14:paraId="450BF239" w14:textId="1F61A2F9" w:rsidR="004D4BEF" w:rsidRDefault="004D4BEF" w:rsidP="004D4BEF">
      <w:pPr>
        <w:pStyle w:val="FootnoteText"/>
        <w:ind w:firstLine="360"/>
        <w:rPr>
          <w:rFonts w:ascii="Times New Roman" w:hAnsi="Times New Roman" w:cs="Times New Roman"/>
          <w:color w:val="0D0D14"/>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Pr="001E0AFE">
        <w:rPr>
          <w:rFonts w:ascii="Times New Roman" w:hAnsi="Times New Roman" w:cs="Times New Roman"/>
          <w:color w:val="0D0D14"/>
          <w:lang w:bidi="he-IL"/>
        </w:rPr>
        <w:t xml:space="preserve">Robert James Utley, </w:t>
      </w:r>
      <w:r w:rsidRPr="001E0AFE">
        <w:rPr>
          <w:rFonts w:ascii="Times New Roman" w:hAnsi="Times New Roman" w:cs="Times New Roman"/>
          <w:i/>
          <w:iCs/>
          <w:color w:val="0D0D14"/>
          <w:lang w:bidi="he-IL"/>
        </w:rPr>
        <w:t>Paul Bound, the Gospel Unbound: Letters from Prison</w:t>
      </w:r>
      <w:r w:rsidRPr="001E0AFE">
        <w:rPr>
          <w:rFonts w:ascii="Times New Roman" w:hAnsi="Times New Roman" w:cs="Times New Roman"/>
          <w:color w:val="0D0D14"/>
          <w:lang w:bidi="he-IL"/>
        </w:rPr>
        <w:t>, vol. 8, Study Guide Commentary Series (Marshall, TX: Bible Lessons International, 1997), 182.</w:t>
      </w:r>
    </w:p>
    <w:p w14:paraId="36428EE7" w14:textId="77777777" w:rsidR="0067397D" w:rsidRPr="001E0AFE" w:rsidRDefault="0067397D" w:rsidP="004D4BEF">
      <w:pPr>
        <w:pStyle w:val="FootnoteText"/>
        <w:ind w:firstLine="360"/>
        <w:rPr>
          <w:rFonts w:ascii="Times New Roman" w:hAnsi="Times New Roman" w:cs="Times New Roman"/>
        </w:rPr>
      </w:pPr>
    </w:p>
  </w:footnote>
  <w:footnote w:id="159">
    <w:p w14:paraId="49AB9503" w14:textId="3C2297DC" w:rsidR="001F7387" w:rsidRPr="001E0AFE" w:rsidRDefault="001F7387" w:rsidP="001F7387">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Kent, “Philippians,” 126.</w:t>
      </w:r>
    </w:p>
  </w:footnote>
  <w:footnote w:id="160">
    <w:p w14:paraId="29A09A75" w14:textId="30D3E955" w:rsidR="001F7387" w:rsidRPr="001E0AFE" w:rsidRDefault="001F7387" w:rsidP="0067397D">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Silva, “Philippians,” 838.</w:t>
      </w:r>
    </w:p>
  </w:footnote>
  <w:footnote w:id="161">
    <w:p w14:paraId="48A8EE37" w14:textId="253858EE" w:rsidR="001F7387" w:rsidRPr="001E0AFE" w:rsidRDefault="001F7387" w:rsidP="001F7387">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Kent, “Philippians,” 126.</w:t>
      </w:r>
    </w:p>
  </w:footnote>
  <w:footnote w:id="162">
    <w:p w14:paraId="0CA3D2B1" w14:textId="58700038" w:rsidR="001F7387" w:rsidRDefault="001F7387" w:rsidP="001F7387">
      <w:pPr>
        <w:pStyle w:val="FootnoteText"/>
        <w:ind w:firstLine="360"/>
        <w:rPr>
          <w:rFonts w:ascii="Times New Roman" w:hAnsi="Times New Roman" w:cs="Times New Roman"/>
          <w:color w:val="000000"/>
          <w:lang w:bidi="he-IL"/>
        </w:rPr>
      </w:pPr>
      <w:r w:rsidRPr="001E0AFE">
        <w:rPr>
          <w:rStyle w:val="FootnoteReference"/>
          <w:rFonts w:ascii="Times New Roman" w:hAnsi="Times New Roman" w:cs="Times New Roman"/>
        </w:rPr>
        <w:footnoteRef/>
      </w:r>
      <w:r w:rsidRPr="001E0AFE">
        <w:rPr>
          <w:rFonts w:ascii="Times New Roman" w:hAnsi="Times New Roman" w:cs="Times New Roman"/>
        </w:rPr>
        <w:t xml:space="preserve"> </w:t>
      </w:r>
      <w:r w:rsidR="00AF414D" w:rsidRPr="001E0AFE">
        <w:rPr>
          <w:rFonts w:ascii="Times New Roman" w:hAnsi="Times New Roman" w:cs="Times New Roman"/>
          <w:color w:val="000000"/>
          <w:lang w:bidi="he-IL"/>
        </w:rPr>
        <w:t xml:space="preserve">Silva, </w:t>
      </w:r>
      <w:r w:rsidR="00AF414D" w:rsidRPr="001E0AFE">
        <w:rPr>
          <w:rFonts w:ascii="Times New Roman" w:hAnsi="Times New Roman" w:cs="Times New Roman"/>
          <w:i/>
          <w:iCs/>
          <w:color w:val="000000"/>
          <w:lang w:bidi="he-IL"/>
        </w:rPr>
        <w:t>Philippians</w:t>
      </w:r>
      <w:r w:rsidR="00AF414D" w:rsidRPr="001E0AFE">
        <w:rPr>
          <w:rFonts w:ascii="Times New Roman" w:hAnsi="Times New Roman" w:cs="Times New Roman"/>
          <w:color w:val="000000"/>
          <w:lang w:bidi="he-IL"/>
        </w:rPr>
        <w:t>, 837.</w:t>
      </w:r>
    </w:p>
    <w:p w14:paraId="1EB51E75" w14:textId="77777777" w:rsidR="0067397D" w:rsidRPr="001E0AFE" w:rsidRDefault="0067397D" w:rsidP="001F7387">
      <w:pPr>
        <w:pStyle w:val="FootnoteText"/>
        <w:ind w:firstLine="360"/>
        <w:rPr>
          <w:rFonts w:ascii="Times New Roman" w:hAnsi="Times New Roman" w:cs="Times New Roman"/>
        </w:rPr>
      </w:pPr>
    </w:p>
  </w:footnote>
  <w:footnote w:id="163">
    <w:p w14:paraId="5E02B779" w14:textId="458F7780" w:rsidR="00AF414D" w:rsidRPr="001E0AFE" w:rsidRDefault="00AF414D" w:rsidP="00AF414D">
      <w:pPr>
        <w:pStyle w:val="FootnoteText"/>
        <w:ind w:firstLine="360"/>
        <w:rPr>
          <w:rFonts w:ascii="Times New Roman" w:hAnsi="Times New Roman" w:cs="Times New Roman"/>
        </w:rPr>
      </w:pPr>
      <w:r w:rsidRPr="001E0AFE">
        <w:rPr>
          <w:rStyle w:val="FootnoteReference"/>
          <w:rFonts w:ascii="Times New Roman" w:hAnsi="Times New Roman" w:cs="Times New Roman"/>
        </w:rPr>
        <w:footnoteRef/>
      </w:r>
      <w:r w:rsidRPr="001E0AFE">
        <w:rPr>
          <w:rFonts w:ascii="Times New Roman" w:hAnsi="Times New Roman" w:cs="Times New Roman"/>
        </w:rPr>
        <w:t xml:space="preserve"> Melick, </w:t>
      </w:r>
      <w:r w:rsidRPr="001E0AFE">
        <w:rPr>
          <w:rStyle w:val="Emphasis"/>
          <w:rFonts w:ascii="Times New Roman" w:hAnsi="Times New Roman" w:cs="Times New Roman"/>
        </w:rPr>
        <w:t>Philippians, Colossians, Philemon</w:t>
      </w:r>
      <w:r w:rsidRPr="001E0AFE">
        <w:rPr>
          <w:rFonts w:ascii="Times New Roman" w:hAnsi="Times New Roman" w:cs="Times New Roman"/>
        </w:rPr>
        <w:t>, 105.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61013111"/>
      <w:docPartObj>
        <w:docPartGallery w:val="Page Numbers (Top of Page)"/>
        <w:docPartUnique/>
      </w:docPartObj>
    </w:sdtPr>
    <w:sdtContent>
      <w:p w14:paraId="409E1532" w14:textId="101E0FB3" w:rsidR="00650242" w:rsidRDefault="00650242" w:rsidP="00571A2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15346151"/>
      <w:docPartObj>
        <w:docPartGallery w:val="Page Numbers (Top of Page)"/>
        <w:docPartUnique/>
      </w:docPartObj>
    </w:sdtPr>
    <w:sdtContent>
      <w:p w14:paraId="72B03F92" w14:textId="500C5045" w:rsidR="00650242" w:rsidRDefault="00650242" w:rsidP="00571A2C">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55F1AFE" w14:textId="77777777" w:rsidR="00650242" w:rsidRDefault="00650242" w:rsidP="0065024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0378693"/>
      <w:docPartObj>
        <w:docPartGallery w:val="Page Numbers (Top of Page)"/>
        <w:docPartUnique/>
      </w:docPartObj>
    </w:sdtPr>
    <w:sdtContent>
      <w:p w14:paraId="2EF46C4C" w14:textId="65967642" w:rsidR="00571A2C" w:rsidRDefault="00571A2C" w:rsidP="00F40E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9982AB" w14:textId="77777777" w:rsidR="00571A2C" w:rsidRDefault="00571A2C" w:rsidP="00571A2C">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D36D9" w14:textId="34A4A719" w:rsidR="00571A2C" w:rsidRDefault="00571A2C" w:rsidP="00571A2C">
    <w:pPr>
      <w:pStyle w:val="Header"/>
      <w:rPr>
        <w:rStyle w:val="PageNumber"/>
      </w:rPr>
    </w:pPr>
  </w:p>
  <w:p w14:paraId="646DF361" w14:textId="77777777" w:rsidR="00571A2C" w:rsidRDefault="00571A2C" w:rsidP="00571A2C">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2546959"/>
      <w:docPartObj>
        <w:docPartGallery w:val="Page Numbers (Top of Page)"/>
        <w:docPartUnique/>
      </w:docPartObj>
    </w:sdtPr>
    <w:sdtContent>
      <w:p w14:paraId="0B3AA881" w14:textId="77777777" w:rsidR="00571A2C" w:rsidRDefault="00571A2C" w:rsidP="00F40E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5F0A58" w14:textId="77777777" w:rsidR="00571A2C" w:rsidRDefault="00571A2C" w:rsidP="00571A2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000001"/>
    <w:multiLevelType w:val="hybridMultilevel"/>
    <w:tmpl w:val="FFFFFFFF"/>
    <w:lvl w:ilvl="0" w:tplc="00000001">
      <w:start w:val="1"/>
      <w:numFmt w:val="decimal"/>
      <w:lvlText w:val="%1."/>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2"/>
    <w:multiLevelType w:val="hybridMultilevel"/>
    <w:tmpl w:val="FFFFFFFF"/>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4"/>
    <w:multiLevelType w:val="hybridMultilevel"/>
    <w:tmpl w:val="FFFFFFFF"/>
    <w:lvl w:ilvl="0" w:tplc="0000012D">
      <w:start w:val="1"/>
      <w:numFmt w:val="decimal"/>
      <w:lvlText w:val="%1."/>
      <w:lvlJc w:val="left"/>
      <w:pPr>
        <w:ind w:left="720" w:hanging="360"/>
      </w:pPr>
    </w:lvl>
    <w:lvl w:ilvl="1" w:tplc="000001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5"/>
    <w:multiLevelType w:val="hybridMultilevel"/>
    <w:tmpl w:val="FFFFFFFF"/>
    <w:lvl w:ilvl="0" w:tplc="00000191">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D"/>
    <w:multiLevelType w:val="hybridMultilevel"/>
    <w:tmpl w:val="FFFFFFFF"/>
    <w:lvl w:ilvl="0" w:tplc="000004B1">
      <w:start w:val="1"/>
      <w:numFmt w:val="decimal"/>
      <w:lvlText w:val="%1."/>
      <w:lvlJc w:val="left"/>
      <w:pPr>
        <w:ind w:left="720" w:hanging="360"/>
      </w:pPr>
    </w:lvl>
    <w:lvl w:ilvl="1" w:tplc="000004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E"/>
    <w:multiLevelType w:val="hybridMultilevel"/>
    <w:tmpl w:val="FFFFFFFF"/>
    <w:lvl w:ilvl="0" w:tplc="0000051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10"/>
    <w:multiLevelType w:val="hybridMultilevel"/>
    <w:tmpl w:val="FFFFFFFF"/>
    <w:lvl w:ilvl="0" w:tplc="000005DD">
      <w:start w:val="1"/>
      <w:numFmt w:val="decimal"/>
      <w:lvlText w:val="%1."/>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11"/>
    <w:multiLevelType w:val="hybridMultilevel"/>
    <w:tmpl w:val="FFFFFFFF"/>
    <w:lvl w:ilvl="0" w:tplc="00000641">
      <w:start w:val="1"/>
      <w:numFmt w:val="decimal"/>
      <w:lvlText w:val="%1."/>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12"/>
    <w:multiLevelType w:val="hybridMultilevel"/>
    <w:tmpl w:val="FFFFFFFF"/>
    <w:lvl w:ilvl="0" w:tplc="000006A5">
      <w:start w:val="1"/>
      <w:numFmt w:val="decimal"/>
      <w:lvlText w:val="%1."/>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3"/>
    <w:multiLevelType w:val="hybridMultilevel"/>
    <w:tmpl w:val="FFFFFFFF"/>
    <w:lvl w:ilvl="0" w:tplc="00000709">
      <w:start w:val="1"/>
      <w:numFmt w:val="decimal"/>
      <w:lvlText w:val="%1."/>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3A32494"/>
    <w:multiLevelType w:val="hybridMultilevel"/>
    <w:tmpl w:val="D00AA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0D56B84"/>
    <w:multiLevelType w:val="hybridMultilevel"/>
    <w:tmpl w:val="F9166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6F603E"/>
    <w:multiLevelType w:val="hybridMultilevel"/>
    <w:tmpl w:val="DCBA5982"/>
    <w:lvl w:ilvl="0" w:tplc="0000044D">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4A06ED"/>
    <w:multiLevelType w:val="hybridMultilevel"/>
    <w:tmpl w:val="E2C6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F218F2"/>
    <w:multiLevelType w:val="hybridMultilevel"/>
    <w:tmpl w:val="4AD65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AE693E"/>
    <w:multiLevelType w:val="hybridMultilevel"/>
    <w:tmpl w:val="57BEA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2B7917"/>
    <w:multiLevelType w:val="hybridMultilevel"/>
    <w:tmpl w:val="8A0EC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EF215E"/>
    <w:multiLevelType w:val="hybridMultilevel"/>
    <w:tmpl w:val="9FA03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4901DE"/>
    <w:multiLevelType w:val="hybridMultilevel"/>
    <w:tmpl w:val="52A620EA"/>
    <w:lvl w:ilvl="0" w:tplc="0000044D">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FF0B1B"/>
    <w:multiLevelType w:val="hybridMultilevel"/>
    <w:tmpl w:val="79866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084536"/>
    <w:multiLevelType w:val="hybridMultilevel"/>
    <w:tmpl w:val="FB28E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1590813">
    <w:abstractNumId w:val="5"/>
  </w:num>
  <w:num w:numId="2" w16cid:durableId="732195395">
    <w:abstractNumId w:val="3"/>
  </w:num>
  <w:num w:numId="3" w16cid:durableId="1383750052">
    <w:abstractNumId w:val="2"/>
  </w:num>
  <w:num w:numId="4" w16cid:durableId="616134617">
    <w:abstractNumId w:val="4"/>
  </w:num>
  <w:num w:numId="5" w16cid:durableId="608319428">
    <w:abstractNumId w:val="1"/>
  </w:num>
  <w:num w:numId="6" w16cid:durableId="265889893">
    <w:abstractNumId w:val="0"/>
  </w:num>
  <w:num w:numId="7" w16cid:durableId="1171287202">
    <w:abstractNumId w:val="6"/>
  </w:num>
  <w:num w:numId="8" w16cid:durableId="1221478234">
    <w:abstractNumId w:val="7"/>
  </w:num>
  <w:num w:numId="9" w16cid:durableId="460877841">
    <w:abstractNumId w:val="8"/>
  </w:num>
  <w:num w:numId="10" w16cid:durableId="336350908">
    <w:abstractNumId w:val="9"/>
  </w:num>
  <w:num w:numId="11" w16cid:durableId="1961302397">
    <w:abstractNumId w:val="10"/>
  </w:num>
  <w:num w:numId="12" w16cid:durableId="184288361">
    <w:abstractNumId w:val="11"/>
  </w:num>
  <w:num w:numId="13" w16cid:durableId="1292250379">
    <w:abstractNumId w:val="12"/>
  </w:num>
  <w:num w:numId="14" w16cid:durableId="1087658354">
    <w:abstractNumId w:val="13"/>
  </w:num>
  <w:num w:numId="15" w16cid:durableId="638538674">
    <w:abstractNumId w:val="14"/>
  </w:num>
  <w:num w:numId="16" w16cid:durableId="491600614">
    <w:abstractNumId w:val="15"/>
  </w:num>
  <w:num w:numId="17" w16cid:durableId="1899970385">
    <w:abstractNumId w:val="20"/>
  </w:num>
  <w:num w:numId="18" w16cid:durableId="652880759">
    <w:abstractNumId w:val="19"/>
  </w:num>
  <w:num w:numId="19" w16cid:durableId="1496341682">
    <w:abstractNumId w:val="23"/>
  </w:num>
  <w:num w:numId="20" w16cid:durableId="1033655584">
    <w:abstractNumId w:val="25"/>
  </w:num>
  <w:num w:numId="21" w16cid:durableId="1252469875">
    <w:abstractNumId w:val="22"/>
  </w:num>
  <w:num w:numId="22" w16cid:durableId="2005476066">
    <w:abstractNumId w:val="21"/>
  </w:num>
  <w:num w:numId="23" w16cid:durableId="1552376891">
    <w:abstractNumId w:val="16"/>
  </w:num>
  <w:num w:numId="24" w16cid:durableId="1240404586">
    <w:abstractNumId w:val="17"/>
  </w:num>
  <w:num w:numId="25" w16cid:durableId="1593005888">
    <w:abstractNumId w:val="26"/>
  </w:num>
  <w:num w:numId="26" w16cid:durableId="910627634">
    <w:abstractNumId w:val="18"/>
  </w:num>
  <w:num w:numId="27" w16cid:durableId="1117022794">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7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5BFC"/>
    <w:rsid w:val="00130332"/>
    <w:rsid w:val="00132573"/>
    <w:rsid w:val="00135FCB"/>
    <w:rsid w:val="0015074B"/>
    <w:rsid w:val="001A49EF"/>
    <w:rsid w:val="001A51D5"/>
    <w:rsid w:val="001E0AFE"/>
    <w:rsid w:val="001F7387"/>
    <w:rsid w:val="00224331"/>
    <w:rsid w:val="0029639D"/>
    <w:rsid w:val="002E4E19"/>
    <w:rsid w:val="00326F90"/>
    <w:rsid w:val="0044269F"/>
    <w:rsid w:val="00484709"/>
    <w:rsid w:val="004B7B91"/>
    <w:rsid w:val="004D4BEF"/>
    <w:rsid w:val="00531A2C"/>
    <w:rsid w:val="00546B43"/>
    <w:rsid w:val="0056215F"/>
    <w:rsid w:val="00571A2C"/>
    <w:rsid w:val="005A6C86"/>
    <w:rsid w:val="00621529"/>
    <w:rsid w:val="00630981"/>
    <w:rsid w:val="00650242"/>
    <w:rsid w:val="0067397D"/>
    <w:rsid w:val="00675A47"/>
    <w:rsid w:val="007925A1"/>
    <w:rsid w:val="007938E3"/>
    <w:rsid w:val="007E2D9B"/>
    <w:rsid w:val="00801852"/>
    <w:rsid w:val="00841FE5"/>
    <w:rsid w:val="008543A4"/>
    <w:rsid w:val="008612FD"/>
    <w:rsid w:val="00876ED9"/>
    <w:rsid w:val="008E5363"/>
    <w:rsid w:val="0092212F"/>
    <w:rsid w:val="009305F5"/>
    <w:rsid w:val="00931C0F"/>
    <w:rsid w:val="009832CB"/>
    <w:rsid w:val="0099337C"/>
    <w:rsid w:val="00A11654"/>
    <w:rsid w:val="00A87FCE"/>
    <w:rsid w:val="00AA1D8D"/>
    <w:rsid w:val="00AB6FE5"/>
    <w:rsid w:val="00AE3FA6"/>
    <w:rsid w:val="00AF414D"/>
    <w:rsid w:val="00B37EDA"/>
    <w:rsid w:val="00B47730"/>
    <w:rsid w:val="00B51FA1"/>
    <w:rsid w:val="00B5747B"/>
    <w:rsid w:val="00B87C8D"/>
    <w:rsid w:val="00BC2BAD"/>
    <w:rsid w:val="00CB0664"/>
    <w:rsid w:val="00CE2397"/>
    <w:rsid w:val="00CE42D7"/>
    <w:rsid w:val="00D0725F"/>
    <w:rsid w:val="00D47593"/>
    <w:rsid w:val="00D5389D"/>
    <w:rsid w:val="00D650E7"/>
    <w:rsid w:val="00D66126"/>
    <w:rsid w:val="00D85940"/>
    <w:rsid w:val="00DD3794"/>
    <w:rsid w:val="00DD53E9"/>
    <w:rsid w:val="00E00B0C"/>
    <w:rsid w:val="00E410BC"/>
    <w:rsid w:val="00E71CE4"/>
    <w:rsid w:val="00E841DD"/>
    <w:rsid w:val="00EE40B1"/>
    <w:rsid w:val="00F340A6"/>
    <w:rsid w:val="00F85A94"/>
    <w:rsid w:val="00FB7EC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11FF8D"/>
  <w14:defaultImageDpi w14:val="300"/>
  <w15:docId w15:val="{36C16BDE-A191-F245-978A-4A952F75B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37C"/>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5"/>
      </w:numPr>
      <w:contextualSpacing/>
    </w:pPr>
  </w:style>
  <w:style w:type="paragraph" w:styleId="ListNumber3">
    <w:name w:val="List Number 3"/>
    <w:basedOn w:val="Normal"/>
    <w:uiPriority w:val="99"/>
    <w:unhideWhenUsed/>
    <w:rsid w:val="0029639D"/>
    <w:pPr>
      <w:numPr>
        <w:numId w:val="6"/>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CE2397"/>
    <w:pPr>
      <w:spacing w:before="100" w:beforeAutospacing="1" w:after="100" w:afterAutospacing="1" w:line="240" w:lineRule="auto"/>
    </w:pPr>
    <w:rPr>
      <w:rFonts w:ascii="Times New Roman" w:eastAsia="Times New Roman" w:hAnsi="Times New Roman" w:cs="Times New Roman"/>
      <w:sz w:val="24"/>
      <w:szCs w:val="24"/>
      <w:lang w:val="en-TW" w:eastAsia="zh-TW" w:bidi="he-IL"/>
    </w:rPr>
  </w:style>
  <w:style w:type="paragraph" w:styleId="FootnoteText">
    <w:name w:val="footnote text"/>
    <w:basedOn w:val="Normal"/>
    <w:link w:val="FootnoteTextChar"/>
    <w:uiPriority w:val="99"/>
    <w:semiHidden/>
    <w:unhideWhenUsed/>
    <w:rsid w:val="004B7B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B7B91"/>
    <w:rPr>
      <w:sz w:val="20"/>
      <w:szCs w:val="20"/>
    </w:rPr>
  </w:style>
  <w:style w:type="character" w:styleId="FootnoteReference">
    <w:name w:val="footnote reference"/>
    <w:basedOn w:val="DefaultParagraphFont"/>
    <w:uiPriority w:val="99"/>
    <w:semiHidden/>
    <w:unhideWhenUsed/>
    <w:rsid w:val="004B7B91"/>
    <w:rPr>
      <w:vertAlign w:val="superscript"/>
    </w:rPr>
  </w:style>
  <w:style w:type="character" w:styleId="PageNumber">
    <w:name w:val="page number"/>
    <w:basedOn w:val="DefaultParagraphFont"/>
    <w:uiPriority w:val="99"/>
    <w:semiHidden/>
    <w:unhideWhenUsed/>
    <w:rsid w:val="00876ED9"/>
  </w:style>
  <w:style w:type="character" w:customStyle="1" w:styleId="name">
    <w:name w:val="name"/>
    <w:basedOn w:val="DefaultParagraphFont"/>
    <w:rsid w:val="00B51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64</Pages>
  <Words>15167</Words>
  <Characters>71590</Characters>
  <Application>Microsoft Office Word</Application>
  <DocSecurity>0</DocSecurity>
  <Lines>1234</Lines>
  <Paragraphs>284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86473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Walz, John</cp:lastModifiedBy>
  <cp:revision>7</cp:revision>
  <dcterms:created xsi:type="dcterms:W3CDTF">2025-11-28T11:13:00Z</dcterms:created>
  <dcterms:modified xsi:type="dcterms:W3CDTF">2025-12-14T09:44:00Z</dcterms:modified>
  <cp:category/>
</cp:coreProperties>
</file>